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eastAsia="黑体"/>
          <w:spacing w:val="-2"/>
          <w:sz w:val="32"/>
          <w:szCs w:val="32"/>
        </w:rPr>
      </w:pPr>
      <w:bookmarkStart w:id="0" w:name="_GoBack"/>
      <w:bookmarkEnd w:id="0"/>
    </w:p>
    <w:p>
      <w:pPr>
        <w:spacing w:line="540" w:lineRule="exact"/>
        <w:jc w:val="center"/>
        <w:rPr>
          <w:rFonts w:ascii="黑体" w:eastAsia="黑体"/>
          <w:spacing w:val="-2"/>
          <w:sz w:val="32"/>
          <w:szCs w:val="32"/>
        </w:rPr>
      </w:pPr>
      <w:r>
        <w:rPr>
          <w:rFonts w:hint="eastAsia" w:ascii="黑体" w:eastAsia="黑体"/>
          <w:spacing w:val="-2"/>
          <w:sz w:val="32"/>
          <w:szCs w:val="32"/>
        </w:rPr>
        <w:t>南山区自主创新产业发展专项资金</w:t>
      </w:r>
      <w:r>
        <w:rPr>
          <w:rFonts w:ascii="黑体" w:eastAsia="黑体"/>
          <w:spacing w:val="-2"/>
          <w:sz w:val="32"/>
          <w:szCs w:val="32"/>
        </w:rPr>
        <w:t>—</w:t>
      </w:r>
      <w:r>
        <w:rPr>
          <w:rFonts w:hint="eastAsia" w:ascii="黑体" w:eastAsia="黑体"/>
          <w:spacing w:val="-2"/>
          <w:sz w:val="32"/>
          <w:szCs w:val="32"/>
        </w:rPr>
        <w:t>经济发展分项资金</w:t>
      </w:r>
    </w:p>
    <w:p>
      <w:pPr>
        <w:spacing w:line="540" w:lineRule="exact"/>
        <w:jc w:val="center"/>
        <w:rPr>
          <w:rFonts w:ascii="黑体" w:eastAsia="黑体"/>
          <w:sz w:val="32"/>
          <w:szCs w:val="32"/>
        </w:rPr>
      </w:pPr>
      <w:r>
        <w:rPr>
          <w:rFonts w:hint="eastAsia" w:ascii="黑体" w:eastAsia="黑体"/>
          <w:sz w:val="32"/>
          <w:szCs w:val="32"/>
        </w:rPr>
        <w:t>金融机构办公用房扶持项目操作规程（20</w:t>
      </w:r>
      <w:r>
        <w:rPr>
          <w:rFonts w:hint="eastAsia" w:ascii="黑体" w:eastAsia="黑体"/>
          <w:sz w:val="32"/>
          <w:szCs w:val="32"/>
          <w:lang w:val="en-US" w:eastAsia="zh-CN"/>
        </w:rPr>
        <w:t>21</w:t>
      </w:r>
      <w:r>
        <w:rPr>
          <w:rFonts w:hint="eastAsia" w:ascii="黑体" w:eastAsia="黑体"/>
          <w:sz w:val="32"/>
          <w:szCs w:val="32"/>
        </w:rPr>
        <w:t>年度）</w:t>
      </w:r>
    </w:p>
    <w:p>
      <w:pPr>
        <w:spacing w:line="540" w:lineRule="exact"/>
        <w:jc w:val="center"/>
        <w:rPr>
          <w:rFonts w:ascii="黑体" w:eastAsia="黑体"/>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kern w:val="0"/>
          <w:sz w:val="32"/>
          <w:szCs w:val="32"/>
        </w:rPr>
        <w:t>促进我区经济增长方式转变，推动产业结构优化升级，</w:t>
      </w:r>
      <w:r>
        <w:rPr>
          <w:rFonts w:hint="eastAsia" w:ascii="仿宋_GB2312" w:eastAsia="仿宋_GB2312" w:cs="宋体"/>
          <w:sz w:val="32"/>
          <w:szCs w:val="32"/>
        </w:rPr>
        <w:t>培育引进有国际竞争力的大型企业</w:t>
      </w:r>
      <w:r>
        <w:rPr>
          <w:rFonts w:hint="eastAsia" w:ascii="仿宋_GB2312" w:eastAsia="仿宋_GB2312"/>
          <w:sz w:val="32"/>
          <w:szCs w:val="32"/>
        </w:rPr>
        <w:t>，根据《南山区自主创新产业发展专项资金管理办法》及《南山区自主创新产业发展专项资金经济发展分项资金实施细则》，制定本操作规程。</w:t>
      </w:r>
    </w:p>
    <w:p>
      <w:pPr>
        <w:widowControl/>
        <w:spacing w:line="580" w:lineRule="exact"/>
        <w:ind w:firstLine="640" w:firstLineChars="200"/>
        <w:rPr>
          <w:rFonts w:ascii="黑体" w:eastAsia="黑体"/>
          <w:sz w:val="32"/>
          <w:szCs w:val="32"/>
        </w:rPr>
      </w:pPr>
      <w:r>
        <w:rPr>
          <w:rFonts w:hint="eastAsia" w:ascii="黑体" w:eastAsia="黑体"/>
          <w:sz w:val="32"/>
          <w:szCs w:val="32"/>
        </w:rPr>
        <w:t>一、政策内容</w:t>
      </w:r>
    </w:p>
    <w:p>
      <w:pPr>
        <w:autoSpaceDN w:val="0"/>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rPr>
        <w:t>在南山区注册设立的金融企业总部，银行、证券、保险公司的一级分支机构，以及实际管理规模30亿元及以上的股权投资基金，可申请购置或租赁社会办公用房补贴。</w:t>
      </w:r>
    </w:p>
    <w:p>
      <w:pPr>
        <w:widowControl/>
        <w:spacing w:line="580" w:lineRule="exact"/>
        <w:ind w:firstLine="640" w:firstLineChars="200"/>
        <w:rPr>
          <w:rFonts w:ascii="黑体" w:eastAsia="黑体"/>
          <w:sz w:val="32"/>
          <w:szCs w:val="32"/>
        </w:rPr>
      </w:pPr>
      <w:r>
        <w:rPr>
          <w:rFonts w:hint="eastAsia" w:ascii="黑体" w:eastAsia="黑体"/>
          <w:sz w:val="32"/>
          <w:szCs w:val="32"/>
        </w:rPr>
        <w:t>二、资助方式</w:t>
      </w:r>
    </w:p>
    <w:p>
      <w:pPr>
        <w:snapToGrid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580" w:lineRule="exact"/>
        <w:ind w:firstLine="640" w:firstLineChars="200"/>
        <w:rPr>
          <w:rFonts w:ascii="仿宋_GB2312" w:eastAsia="仿宋_GB2312"/>
          <w:sz w:val="32"/>
          <w:szCs w:val="32"/>
        </w:rPr>
      </w:pPr>
      <w:r>
        <w:rPr>
          <w:rFonts w:hint="eastAsia" w:ascii="黑体" w:eastAsia="黑体"/>
          <w:sz w:val="32"/>
          <w:szCs w:val="32"/>
        </w:rPr>
        <w:t>三、资助标准</w:t>
      </w:r>
    </w:p>
    <w:p>
      <w:pPr>
        <w:autoSpaceDN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（一）购置社会办公用房补贴。符合上述条件的企业，在南山区新购置自用办公用房（不含附属和配套用房</w:t>
      </w:r>
      <w:r>
        <w:rPr>
          <w:rFonts w:hint="eastAsia" w:ascii="仿宋_GB2312" w:eastAsia="仿宋_GB2312"/>
          <w:kern w:val="0"/>
          <w:sz w:val="32"/>
          <w:szCs w:val="32"/>
        </w:rPr>
        <w:t>以及南山区政策性产业用房</w:t>
      </w:r>
      <w:r>
        <w:rPr>
          <w:rFonts w:hint="eastAsia" w:ascii="仿宋_GB2312" w:hAnsi="仿宋_GB2312" w:eastAsia="仿宋_GB2312" w:cs="仿宋_GB2312"/>
          <w:sz w:val="32"/>
        </w:rPr>
        <w:t>）的，可按3000元／平米的标准分3年给予补贴（以套内建筑面积为准），每年最高1000万元。获得本条补贴的办公用房5年内不得对外租售。</w:t>
      </w:r>
    </w:p>
    <w:p>
      <w:pPr>
        <w:autoSpaceDN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（二）租赁社会办公用房补贴。符合上述条件的企业，在南山区新租赁自用办公用房（不含附属和配套用房</w:t>
      </w:r>
      <w:r>
        <w:rPr>
          <w:rFonts w:hint="eastAsia" w:ascii="仿宋_GB2312" w:eastAsia="仿宋_GB2312"/>
          <w:kern w:val="0"/>
          <w:sz w:val="32"/>
          <w:szCs w:val="32"/>
        </w:rPr>
        <w:t>以及南山区政策性产业用房</w:t>
      </w:r>
      <w:r>
        <w:rPr>
          <w:rFonts w:hint="eastAsia" w:ascii="仿宋_GB2312" w:hAnsi="仿宋_GB2312" w:eastAsia="仿宋_GB2312" w:cs="仿宋_GB2312"/>
          <w:sz w:val="32"/>
        </w:rPr>
        <w:t>）的，3年内每年按实际支付租金的30％给予房租补贴，每年最高500万元。对入驻经市、区政府认定的产业基地或金融重点楼宇的，5年内给予房租补贴，其中前3年每年按实际支付租金的30％给予补贴，每年最高500万元；后2年每年按实际支付租金的15％给予补贴，每年最高250万元。</w:t>
      </w:r>
    </w:p>
    <w:p>
      <w:pPr>
        <w:spacing w:line="560" w:lineRule="exact"/>
        <w:ind w:firstLine="640" w:firstLineChars="200"/>
        <w:rPr>
          <w:rFonts w:ascii="仿宋_GB2312" w:eastAsia="仿宋_GB2312"/>
          <w:kern w:val="0"/>
          <w:sz w:val="32"/>
          <w:szCs w:val="32"/>
        </w:rPr>
      </w:pPr>
      <w:r>
        <w:rPr>
          <w:rFonts w:hint="eastAsia" w:ascii="仿宋_GB2312" w:hAnsi="仿宋_GB2312" w:eastAsia="仿宋_GB2312" w:cs="仿宋_GB2312"/>
          <w:sz w:val="32"/>
        </w:rPr>
        <w:t>（三）每家企业原则上</w:t>
      </w:r>
      <w:r>
        <w:rPr>
          <w:rFonts w:hint="eastAsia" w:ascii="仿宋_GB2312" w:eastAsia="仿宋_GB2312"/>
          <w:kern w:val="0"/>
          <w:sz w:val="32"/>
          <w:szCs w:val="32"/>
        </w:rPr>
        <w:t>只能享受以上一项扶持政策。</w:t>
      </w:r>
    </w:p>
    <w:p>
      <w:pPr>
        <w:widowControl/>
        <w:spacing w:line="560" w:lineRule="exact"/>
        <w:ind w:firstLine="640" w:firstLineChars="200"/>
        <w:rPr>
          <w:rFonts w:ascii="黑体" w:eastAsia="黑体"/>
          <w:sz w:val="32"/>
          <w:szCs w:val="32"/>
        </w:rPr>
      </w:pPr>
      <w:r>
        <w:rPr>
          <w:rFonts w:hint="eastAsia" w:ascii="仿宋_GB2312" w:eastAsia="仿宋_GB2312"/>
          <w:kern w:val="0"/>
          <w:sz w:val="32"/>
          <w:szCs w:val="32"/>
        </w:rPr>
        <w:t>（四）</w:t>
      </w:r>
      <w:r>
        <w:rPr>
          <w:rFonts w:hint="eastAsia" w:ascii="仿宋_GB2312" w:eastAsia="仿宋_GB2312" w:cs="宋体"/>
          <w:sz w:val="32"/>
          <w:szCs w:val="32"/>
        </w:rPr>
        <w:t>本项目不受《南山区自主创新产业发展专项资金管理办法（试行）》第十三条第（四）款“每家单位同一年度获得的资助金额原则上不超过其上一年度形成的区级地方财力贡献”限制。</w:t>
      </w:r>
    </w:p>
    <w:p>
      <w:pPr>
        <w:widowControl/>
        <w:spacing w:line="580" w:lineRule="exact"/>
        <w:ind w:firstLine="640" w:firstLineChars="200"/>
        <w:rPr>
          <w:rFonts w:ascii="黑体" w:eastAsia="黑体"/>
          <w:sz w:val="32"/>
          <w:szCs w:val="32"/>
        </w:rPr>
      </w:pPr>
      <w:r>
        <w:rPr>
          <w:rFonts w:hint="eastAsia" w:ascii="黑体" w:eastAsia="黑体"/>
          <w:sz w:val="32"/>
          <w:szCs w:val="32"/>
        </w:rPr>
        <w:t>四、申请条件</w:t>
      </w:r>
    </w:p>
    <w:p>
      <w:pPr>
        <w:pStyle w:val="14"/>
        <w:numPr>
          <w:ilvl w:val="0"/>
          <w:numId w:val="1"/>
        </w:numPr>
        <w:spacing w:line="580" w:lineRule="exact"/>
        <w:ind w:firstLineChars="0"/>
        <w:rPr>
          <w:rFonts w:ascii="仿宋_GB2312" w:eastAsia="仿宋_GB2312"/>
          <w:sz w:val="32"/>
          <w:szCs w:val="32"/>
        </w:rPr>
      </w:pPr>
      <w:r>
        <w:rPr>
          <w:rFonts w:hint="eastAsia" w:ascii="仿宋_GB2312" w:eastAsia="仿宋_GB2312"/>
          <w:sz w:val="32"/>
          <w:szCs w:val="32"/>
        </w:rPr>
        <w:t>申请本项资金资助的企业应符合以下条件：</w:t>
      </w:r>
    </w:p>
    <w:p>
      <w:pPr>
        <w:tabs>
          <w:tab w:val="left" w:pos="307"/>
          <w:tab w:val="left" w:pos="680"/>
        </w:tabs>
        <w:spacing w:line="580" w:lineRule="exact"/>
        <w:ind w:left="680"/>
        <w:rPr>
          <w:rFonts w:ascii="仿宋_GB2312" w:eastAsia="仿宋_GB2312"/>
          <w:sz w:val="32"/>
          <w:szCs w:val="32"/>
        </w:rPr>
      </w:pPr>
      <w:r>
        <w:rPr>
          <w:rFonts w:hint="eastAsia" w:ascii="仿宋_GB2312" w:eastAsia="仿宋_GB2312"/>
          <w:color w:val="000000"/>
          <w:sz w:val="32"/>
          <w:szCs w:val="32"/>
        </w:rPr>
        <w:t>1.在南山辖区内登记注册并在2016年1月1日后（其中前海注册企业2017年1月1日后）在辖区购置或租赁自用办公用房且属于本操作规程第一条中所列机构类型</w:t>
      </w:r>
      <w:r>
        <w:rPr>
          <w:rFonts w:hint="eastAsia" w:ascii="仿宋_GB2312" w:eastAsia="仿宋_GB2312"/>
          <w:sz w:val="32"/>
          <w:szCs w:val="32"/>
        </w:rPr>
        <w:t>；</w:t>
      </w:r>
    </w:p>
    <w:p>
      <w:pPr>
        <w:tabs>
          <w:tab w:val="left" w:pos="307"/>
          <w:tab w:val="left" w:pos="680"/>
        </w:tabs>
        <w:spacing w:line="580" w:lineRule="exact"/>
        <w:ind w:left="640"/>
        <w:rPr>
          <w:rFonts w:ascii="仿宋_GB2312" w:eastAsia="仿宋_GB2312"/>
          <w:sz w:val="32"/>
          <w:szCs w:val="32"/>
        </w:rPr>
      </w:pPr>
      <w:r>
        <w:rPr>
          <w:rFonts w:hint="eastAsia" w:ascii="仿宋_GB2312" w:eastAsia="仿宋_GB2312"/>
          <w:color w:val="000000"/>
          <w:sz w:val="32"/>
          <w:szCs w:val="32"/>
        </w:rPr>
        <w:t>2.税务登记地在南山区并在南山区汇总或部分汇总纳税；</w:t>
      </w:r>
    </w:p>
    <w:p>
      <w:pPr>
        <w:tabs>
          <w:tab w:val="left" w:pos="307"/>
          <w:tab w:val="left" w:pos="680"/>
        </w:tabs>
        <w:spacing w:line="580" w:lineRule="exact"/>
        <w:ind w:left="640"/>
        <w:rPr>
          <w:rFonts w:ascii="仿宋_GB2312" w:eastAsia="仿宋_GB2312"/>
          <w:sz w:val="32"/>
          <w:szCs w:val="32"/>
        </w:rPr>
      </w:pPr>
      <w:r>
        <w:rPr>
          <w:rFonts w:hint="eastAsia" w:ascii="仿宋_GB2312" w:eastAsia="仿宋_GB2312"/>
          <w:sz w:val="32"/>
          <w:szCs w:val="32"/>
        </w:rPr>
        <w:t>3.履行统计数据申报义务、守法经营、诚实守信，有规范健全的财务制度；</w:t>
      </w:r>
    </w:p>
    <w:p>
      <w:pPr>
        <w:tabs>
          <w:tab w:val="left" w:pos="307"/>
          <w:tab w:val="left" w:pos="680"/>
        </w:tabs>
        <w:spacing w:line="580" w:lineRule="exact"/>
        <w:ind w:left="640"/>
        <w:rPr>
          <w:rFonts w:ascii="仿宋_GB2312" w:eastAsia="仿宋_GB2312"/>
          <w:sz w:val="32"/>
          <w:szCs w:val="32"/>
        </w:rPr>
      </w:pPr>
      <w:r>
        <w:rPr>
          <w:rFonts w:hint="eastAsia" w:ascii="仿宋_GB2312" w:eastAsia="仿宋_GB2312"/>
          <w:sz w:val="32"/>
          <w:szCs w:val="32"/>
        </w:rPr>
        <w:t>4.应积极配合区委、区政府相关工作。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.近三年内在税收、安全生产、环保、劳动等方面存在重大违法行为，受到有关部门行政处罚的；</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．申报材料有弄虚作假情况的；</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3.近三年内申请单位以及单位法人、实际控制人存在违规申报使用政府资金、商业贿赂、不良信用记录等情况的；</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4.提出资助申请后，将企业注册地搬离南山和未按规定提交统计报表、在南山区产业发展综合服务平台填报相关数据的；</w:t>
      </w:r>
    </w:p>
    <w:p>
      <w:pPr>
        <w:spacing w:line="560" w:lineRule="exact"/>
        <w:ind w:firstLine="640" w:firstLineChars="200"/>
        <w:rPr>
          <w:rFonts w:ascii="仿宋_GB2312" w:hAnsi="宋体" w:eastAsia="仿宋_GB2312"/>
          <w:sz w:val="32"/>
          <w:szCs w:val="32"/>
        </w:rPr>
      </w:pPr>
      <w:r>
        <w:rPr>
          <w:rFonts w:hint="eastAsia" w:ascii="仿宋_GB2312" w:hAnsi="宋体" w:eastAsia="仿宋_GB2312"/>
          <w:color w:val="000000"/>
          <w:sz w:val="32"/>
          <w:szCs w:val="32"/>
        </w:rPr>
        <w:t>5.已获市政府用地出让政策扶持的企业。</w:t>
      </w:r>
    </w:p>
    <w:p>
      <w:pPr>
        <w:widowControl/>
        <w:spacing w:line="580" w:lineRule="exact"/>
        <w:ind w:firstLine="640" w:firstLineChars="200"/>
        <w:rPr>
          <w:rFonts w:ascii="黑体" w:eastAsia="黑体"/>
          <w:sz w:val="32"/>
          <w:szCs w:val="32"/>
        </w:rPr>
      </w:pPr>
      <w:r>
        <w:rPr>
          <w:rFonts w:hint="eastAsia" w:ascii="黑体" w:eastAsia="黑体"/>
          <w:sz w:val="32"/>
          <w:szCs w:val="32"/>
        </w:rPr>
        <w:t>五、办理流程</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申请单位按照相关资金操作规程的具体要求备齐资料，通过南山区产业发展综合服务平台提出资助申请，并按要求将有关材料递交</w:t>
      </w:r>
      <w:r>
        <w:rPr>
          <w:rFonts w:ascii="仿宋_GB2312" w:eastAsia="仿宋_GB2312"/>
          <w:sz w:val="32"/>
          <w:szCs w:val="32"/>
        </w:rPr>
        <w:t>指定</w:t>
      </w:r>
      <w:r>
        <w:rPr>
          <w:rFonts w:hint="eastAsia" w:ascii="仿宋_GB2312" w:eastAsia="仿宋_GB2312"/>
          <w:sz w:val="32"/>
          <w:szCs w:val="32"/>
        </w:rPr>
        <w:t>窗口；</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（四）区财政局对资金主管部门的项目资助计划进行复核，区统计局对申报企业在地统计开展情况进行核查，市市场监督管理局南山监管局对申报企业注册地情况进行核查；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（五）区企业服务中心将资金主管部门项目资助计划向社会公示5个工作日，对公示期满，无有效投诉的项目资助计划，提交领导小组会议进行审议；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（六）召开领导小组会议，对资金主管部门提交的专项资金项目资助计划进行审定；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（八）区财政部门及时安排资金，资金主管部门办理资金拨付手续。</w:t>
      </w:r>
    </w:p>
    <w:p>
      <w:pPr>
        <w:spacing w:line="580" w:lineRule="exact"/>
        <w:ind w:firstLine="640" w:firstLineChars="200"/>
        <w:rPr>
          <w:rFonts w:ascii="黑体" w:eastAsia="黑体"/>
          <w:sz w:val="32"/>
          <w:szCs w:val="32"/>
        </w:rPr>
      </w:pPr>
      <w:r>
        <w:rPr>
          <w:rFonts w:hint="eastAsia" w:ascii="黑体" w:eastAsia="黑体"/>
          <w:sz w:val="32"/>
          <w:szCs w:val="32"/>
        </w:rPr>
        <w:t>六、申请材料</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（一）《项目申请书》（登录南山区产业发展综合服务平台</w:t>
      </w:r>
      <w:r>
        <w:rPr>
          <w:rFonts w:ascii="仿宋_GB2312" w:eastAsia="仿宋_GB2312"/>
          <w:sz w:val="32"/>
          <w:szCs w:val="32"/>
        </w:rPr>
        <w:t xml:space="preserve"> http://sfms.szns.gov.cn/</w:t>
      </w:r>
      <w:r>
        <w:rPr>
          <w:rFonts w:hint="eastAsia" w:ascii="仿宋_GB2312" w:eastAsia="仿宋_GB2312"/>
          <w:sz w:val="32"/>
          <w:szCs w:val="32"/>
        </w:rPr>
        <w:t>在线填写，待审核通过后提供通过该系统打印的申请书纸质文件原件）；</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（二）新版“三证合一”营业执照（网上提交资料要求：原件彩色扫描上传；纸质材料要求：验原件，复印件加盖公章）；</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（三）法定代表人身份证[网上提交资料要求：原件（复印件加盖公章）彩色扫描上传；纸质材料要求：复印件加盖公章];                                                  </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（四）税务部门开具的单位上年度纳税证明（成立未满一年的企业无需提供）[网上提交资料要求：上传税务申报系统下载的电子版；纸质材料要求:税务申报系统下载电子版打印并加盖企业公章]；</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（五）上一年度财务审计报告（含资产负债表、损益表、现金流量表）</w:t>
      </w:r>
      <w:r>
        <w:rPr>
          <w:rFonts w:hint="eastAsia" w:ascii="仿宋_GB2312" w:hAnsi="宋体" w:eastAsia="仿宋_GB2312"/>
          <w:sz w:val="32"/>
          <w:szCs w:val="32"/>
        </w:rPr>
        <w:t>（</w:t>
      </w:r>
      <w:r>
        <w:rPr>
          <w:rFonts w:hint="eastAsia" w:ascii="仿宋_GB2312" w:hAnsi="仿宋_GB2312" w:eastAsia="仿宋_GB2312"/>
          <w:color w:val="000000"/>
          <w:sz w:val="32"/>
          <w:szCs w:val="32"/>
        </w:rPr>
        <w:t>成立未满一年的企业无需提供，分公司可提供上一年度未经审计的财务报表或总公司审计报告</w:t>
      </w:r>
      <w:r>
        <w:rPr>
          <w:rFonts w:hint="eastAsia" w:ascii="仿宋_GB2312" w:hAnsi="宋体" w:eastAsia="仿宋_GB2312"/>
          <w:sz w:val="32"/>
          <w:szCs w:val="32"/>
        </w:rPr>
        <w:t>）</w:t>
      </w:r>
      <w:r>
        <w:rPr>
          <w:rFonts w:hint="eastAsia" w:ascii="仿宋_GB2312" w:eastAsia="仿宋_GB2312"/>
          <w:sz w:val="32"/>
          <w:szCs w:val="32"/>
        </w:rPr>
        <w:t>[</w:t>
      </w:r>
      <w:r>
        <w:rPr>
          <w:rFonts w:hint="eastAsia" w:ascii="仿宋_GB2312" w:hAnsi="仿宋_GB2312" w:eastAsia="仿宋_GB2312"/>
          <w:sz w:val="32"/>
          <w:szCs w:val="32"/>
        </w:rPr>
        <w:t>网上提交资料要求：</w:t>
      </w:r>
      <w:r>
        <w:rPr>
          <w:rFonts w:hint="eastAsia" w:ascii="仿宋_GB2312" w:eastAsia="仿宋_GB2312"/>
          <w:sz w:val="32"/>
          <w:szCs w:val="32"/>
        </w:rPr>
        <w:t>原件（复印件加盖公章）彩色扫描上传</w:t>
      </w:r>
      <w:r>
        <w:rPr>
          <w:rFonts w:hint="eastAsia" w:ascii="仿宋_GB2312" w:hAnsi="仿宋_GB2312" w:eastAsia="仿宋_GB2312"/>
          <w:sz w:val="32"/>
          <w:szCs w:val="32"/>
        </w:rPr>
        <w:t>；</w:t>
      </w:r>
      <w:r>
        <w:rPr>
          <w:rFonts w:hint="eastAsia" w:ascii="仿宋_GB2312" w:eastAsia="仿宋_GB2312"/>
          <w:sz w:val="32"/>
          <w:szCs w:val="32"/>
        </w:rPr>
        <w:t>纸质材料要求：验原件，复印件加盖公章]；</w:t>
      </w:r>
    </w:p>
    <w:p>
      <w:pPr>
        <w:spacing w:line="580" w:lineRule="exact"/>
        <w:ind w:firstLine="640" w:firstLineChars="200"/>
        <w:rPr>
          <w:rFonts w:ascii="仿宋_GB2312" w:eastAsia="仿宋_GB2312" w:cs="宋体"/>
          <w:sz w:val="32"/>
          <w:szCs w:val="32"/>
        </w:rPr>
      </w:pPr>
      <w:r>
        <w:rPr>
          <w:rFonts w:hint="eastAsia" w:ascii="仿宋_GB2312" w:eastAsia="仿宋_GB2312"/>
          <w:sz w:val="32"/>
          <w:szCs w:val="32"/>
        </w:rPr>
        <w:t>（六）</w:t>
      </w:r>
      <w:r>
        <w:rPr>
          <w:rFonts w:hint="eastAsia" w:ascii="仿宋_GB2312" w:eastAsia="仿宋_GB2312" w:cs="宋体"/>
          <w:sz w:val="32"/>
          <w:szCs w:val="32"/>
        </w:rPr>
        <w:t>申请</w:t>
      </w:r>
      <w:r>
        <w:rPr>
          <w:rFonts w:hint="eastAsia" w:ascii="仿宋_GB2312" w:eastAsia="仿宋_GB2312"/>
          <w:sz w:val="32"/>
          <w:szCs w:val="32"/>
        </w:rPr>
        <w:t>购置办公用房资助的，提供</w:t>
      </w:r>
      <w:r>
        <w:rPr>
          <w:rFonts w:hint="eastAsia" w:ascii="仿宋_GB2312" w:eastAsia="仿宋_GB2312" w:cs="宋体"/>
          <w:sz w:val="32"/>
          <w:szCs w:val="32"/>
        </w:rPr>
        <w:t>购买商品办公用房的购买</w:t>
      </w:r>
      <w:r>
        <w:rPr>
          <w:rFonts w:hint="eastAsia" w:ascii="仿宋_GB2312" w:eastAsia="仿宋_GB2312"/>
          <w:sz w:val="32"/>
          <w:szCs w:val="32"/>
        </w:rPr>
        <w:t>合同、</w:t>
      </w:r>
      <w:r>
        <w:rPr>
          <w:rFonts w:hint="eastAsia" w:ascii="仿宋_GB2312" w:eastAsia="仿宋_GB2312" w:cs="宋体"/>
          <w:sz w:val="32"/>
          <w:szCs w:val="32"/>
        </w:rPr>
        <w:t>房屋所有权证以及相关付款凭证、发票（</w:t>
      </w:r>
      <w:r>
        <w:rPr>
          <w:rFonts w:hint="eastAsia" w:ascii="仿宋_GB2312" w:hAnsi="仿宋_GB2312" w:eastAsia="仿宋_GB2312"/>
          <w:sz w:val="32"/>
          <w:szCs w:val="32"/>
        </w:rPr>
        <w:t>网上提交资料要求：原件彩色扫描上传；</w:t>
      </w:r>
      <w:r>
        <w:rPr>
          <w:rFonts w:hint="eastAsia" w:ascii="仿宋_GB2312" w:eastAsia="仿宋_GB2312"/>
          <w:sz w:val="32"/>
          <w:szCs w:val="32"/>
        </w:rPr>
        <w:t>纸质材料要求：验原件，复印件加盖公章）</w:t>
      </w:r>
      <w:r>
        <w:rPr>
          <w:rFonts w:hint="eastAsia" w:ascii="仿宋_GB2312" w:eastAsia="仿宋_GB2312" w:cs="宋体"/>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cs="宋体"/>
          <w:sz w:val="32"/>
          <w:szCs w:val="32"/>
        </w:rPr>
        <w:t>（七）申请</w:t>
      </w:r>
      <w:r>
        <w:rPr>
          <w:rFonts w:hint="eastAsia" w:ascii="仿宋_GB2312" w:eastAsia="仿宋_GB2312"/>
          <w:sz w:val="32"/>
          <w:szCs w:val="32"/>
        </w:rPr>
        <w:t>租赁办公用房资助的，提供租赁商品办公用房书面合同及</w:t>
      </w:r>
      <w:r>
        <w:rPr>
          <w:rFonts w:hint="eastAsia" w:ascii="仿宋_GB2312" w:eastAsia="仿宋_GB2312" w:cs="宋体"/>
          <w:sz w:val="32"/>
          <w:szCs w:val="32"/>
        </w:rPr>
        <w:t>相关付款凭证、发票，填报</w:t>
      </w:r>
      <w:r>
        <w:rPr>
          <w:rFonts w:hint="eastAsia" w:ascii="仿宋_GB2312" w:eastAsia="仿宋_GB2312"/>
          <w:sz w:val="32"/>
          <w:szCs w:val="32"/>
        </w:rPr>
        <w:t>租赁办公用房信息明细表（格式参见附件</w:t>
      </w:r>
      <w:r>
        <w:rPr>
          <w:rFonts w:ascii="仿宋_GB2312" w:eastAsia="仿宋_GB2312"/>
          <w:sz w:val="32"/>
          <w:szCs w:val="32"/>
        </w:rPr>
        <w:t>1</w:t>
      </w:r>
      <w:r>
        <w:rPr>
          <w:rFonts w:hint="eastAsia" w:ascii="仿宋_GB2312" w:eastAsia="仿宋_GB2312"/>
          <w:sz w:val="32"/>
          <w:szCs w:val="32"/>
        </w:rPr>
        <w:t>）[</w:t>
      </w:r>
      <w:r>
        <w:rPr>
          <w:rFonts w:hint="eastAsia" w:ascii="仿宋_GB2312" w:hAnsi="仿宋_GB2312" w:eastAsia="仿宋_GB2312"/>
          <w:sz w:val="32"/>
          <w:szCs w:val="32"/>
        </w:rPr>
        <w:t>网上提交资料要求：原件彩色扫描上传；</w:t>
      </w:r>
      <w:r>
        <w:rPr>
          <w:rFonts w:hint="eastAsia" w:ascii="仿宋_GB2312" w:eastAsia="仿宋_GB2312"/>
          <w:sz w:val="32"/>
          <w:szCs w:val="32"/>
        </w:rPr>
        <w:t>纸质材料要求：验原件，复印件加盖公章]；</w:t>
      </w:r>
    </w:p>
    <w:p>
      <w:pPr>
        <w:widowControl/>
        <w:spacing w:line="580" w:lineRule="exact"/>
        <w:ind w:firstLine="640" w:firstLineChars="200"/>
        <w:rPr>
          <w:rFonts w:ascii="仿宋_GB2312" w:eastAsia="仿宋_GB2312"/>
          <w:sz w:val="32"/>
          <w:szCs w:val="32"/>
        </w:rPr>
      </w:pPr>
      <w:r>
        <w:rPr>
          <w:rFonts w:hint="eastAsia" w:ascii="仿宋_GB2312" w:eastAsia="仿宋_GB2312"/>
          <w:sz w:val="32"/>
          <w:szCs w:val="32"/>
        </w:rPr>
        <w:t>（八）审核部门认为需要提供的其它材料。</w:t>
      </w:r>
    </w:p>
    <w:p>
      <w:pPr>
        <w:widowControl/>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说明：以上材料按照要求在线填写或采用附件形式在线提交，接到递交纸质材料通知后将上述材料按顺序装订，一式一份，</w:t>
      </w:r>
      <w:r>
        <w:rPr>
          <w:rFonts w:ascii="仿宋_GB2312" w:eastAsia="仿宋_GB2312"/>
          <w:color w:val="000000"/>
          <w:sz w:val="32"/>
          <w:szCs w:val="32"/>
        </w:rPr>
        <w:t>A4</w:t>
      </w:r>
      <w:r>
        <w:rPr>
          <w:rFonts w:hint="eastAsia" w:ascii="仿宋_GB2312" w:eastAsia="仿宋_GB2312"/>
          <w:color w:val="000000"/>
          <w:sz w:val="32"/>
          <w:szCs w:val="32"/>
        </w:rPr>
        <w:t>纸正反面打印</w:t>
      </w:r>
      <w:r>
        <w:rPr>
          <w:rFonts w:ascii="仿宋_GB2312" w:eastAsia="仿宋_GB2312"/>
          <w:color w:val="000000"/>
          <w:sz w:val="32"/>
          <w:szCs w:val="32"/>
        </w:rPr>
        <w:t>/</w:t>
      </w:r>
      <w:r>
        <w:rPr>
          <w:rFonts w:hint="eastAsia" w:ascii="仿宋_GB2312" w:eastAsia="仿宋_GB2312"/>
          <w:color w:val="000000"/>
          <w:sz w:val="32"/>
          <w:szCs w:val="32"/>
        </w:rPr>
        <w:t>复印，非空白页（含封面）需连续编写页码，装订成册（胶装）提交，需验原件的请同时提供原件待验。</w:t>
      </w:r>
    </w:p>
    <w:p>
      <w:pPr>
        <w:widowControl/>
        <w:spacing w:line="580" w:lineRule="exact"/>
        <w:ind w:firstLine="640" w:firstLineChars="200"/>
        <w:rPr>
          <w:rFonts w:ascii="黑体" w:eastAsia="黑体"/>
          <w:color w:val="000000"/>
          <w:sz w:val="32"/>
          <w:szCs w:val="32"/>
        </w:rPr>
      </w:pPr>
      <w:r>
        <w:rPr>
          <w:rFonts w:hint="eastAsia" w:ascii="黑体" w:eastAsia="黑体"/>
          <w:color w:val="000000"/>
          <w:sz w:val="32"/>
          <w:szCs w:val="32"/>
        </w:rPr>
        <w:t>七、时限要求</w:t>
      </w:r>
    </w:p>
    <w:p>
      <w:pPr>
        <w:widowControl/>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区工业和信息化局每年安排1-2次集中受理企业申请（具体时间以发布的申报通知为准），获得专项资金资助的单位应于资金计划下达后一个月内，持相关资料办理拨款手续，逾期不办理者视为自动放弃。</w:t>
      </w:r>
    </w:p>
    <w:p>
      <w:pPr>
        <w:widowControl/>
        <w:spacing w:line="580" w:lineRule="exact"/>
        <w:ind w:firstLine="640" w:firstLineChars="200"/>
        <w:rPr>
          <w:rFonts w:ascii="黑体" w:eastAsia="黑体"/>
          <w:color w:val="000000"/>
          <w:sz w:val="32"/>
          <w:szCs w:val="32"/>
        </w:rPr>
      </w:pPr>
      <w:r>
        <w:rPr>
          <w:rFonts w:hint="eastAsia" w:ascii="黑体" w:eastAsia="黑体"/>
          <w:color w:val="000000"/>
          <w:sz w:val="32"/>
          <w:szCs w:val="32"/>
        </w:rPr>
        <w:t>八、其他事项</w:t>
      </w:r>
    </w:p>
    <w:p>
      <w:pPr>
        <w:widowControl/>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spacing w:line="580" w:lineRule="exact"/>
        <w:ind w:firstLine="640" w:firstLineChars="200"/>
        <w:rPr>
          <w:rFonts w:ascii="黑体" w:eastAsia="黑体"/>
          <w:sz w:val="32"/>
          <w:szCs w:val="32"/>
        </w:rPr>
      </w:pPr>
      <w:r>
        <w:rPr>
          <w:rFonts w:hint="eastAsia" w:ascii="黑体" w:eastAsia="黑体"/>
          <w:sz w:val="32"/>
          <w:szCs w:val="32"/>
        </w:rPr>
        <w:t>九、附则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本操作规程由</w:t>
      </w:r>
      <w:r>
        <w:rPr>
          <w:rFonts w:hint="eastAsia" w:ascii="仿宋_GB2312" w:hAnsi="仿宋" w:eastAsia="仿宋_GB2312" w:cs="宋体"/>
          <w:sz w:val="32"/>
          <w:szCs w:val="32"/>
        </w:rPr>
        <w:t>南山区工业和信息化局</w:t>
      </w:r>
      <w:r>
        <w:rPr>
          <w:rFonts w:hint="eastAsia" w:ascii="仿宋_GB2312" w:eastAsia="仿宋_GB2312"/>
          <w:sz w:val="32"/>
          <w:szCs w:val="32"/>
        </w:rPr>
        <w:t>负责解释，自发布之日起施行。</w:t>
      </w:r>
    </w:p>
    <w:p>
      <w:pPr>
        <w:spacing w:line="580" w:lineRule="exact"/>
        <w:rPr>
          <w:rFonts w:ascii="仿宋_GB2312" w:eastAsia="仿宋_GB2312"/>
          <w:sz w:val="32"/>
          <w:szCs w:val="32"/>
        </w:rPr>
        <w:sectPr>
          <w:pgSz w:w="11906" w:h="16838"/>
          <w:pgMar w:top="1440" w:right="1559" w:bottom="1440" w:left="1400" w:header="851" w:footer="992" w:gutter="0"/>
          <w:cols w:space="720" w:num="1"/>
          <w:docGrid w:type="linesAndChars" w:linePitch="312" w:charSpace="0"/>
        </w:sectPr>
      </w:pPr>
    </w:p>
    <w:p>
      <w:pPr>
        <w:spacing w:line="58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p>
    <w:p>
      <w:pPr>
        <w:spacing w:line="580" w:lineRule="exact"/>
        <w:jc w:val="center"/>
        <w:rPr>
          <w:rFonts w:ascii="黑体" w:eastAsia="黑体"/>
          <w:sz w:val="32"/>
          <w:szCs w:val="32"/>
        </w:rPr>
      </w:pPr>
      <w:r>
        <w:rPr>
          <w:rFonts w:hint="eastAsia" w:ascii="黑体" w:eastAsia="黑体"/>
          <w:sz w:val="32"/>
          <w:szCs w:val="32"/>
        </w:rPr>
        <w:t>租赁办公用房信息明细表</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540"/>
        <w:gridCol w:w="1620"/>
        <w:gridCol w:w="2160"/>
        <w:gridCol w:w="19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合同名称</w:t>
            </w:r>
          </w:p>
        </w:tc>
        <w:tc>
          <w:tcPr>
            <w:tcW w:w="8100" w:type="dxa"/>
            <w:gridSpan w:val="5"/>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物业名称</w:t>
            </w:r>
          </w:p>
        </w:tc>
        <w:tc>
          <w:tcPr>
            <w:tcW w:w="8100" w:type="dxa"/>
            <w:gridSpan w:val="5"/>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物业地址</w:t>
            </w:r>
          </w:p>
        </w:tc>
        <w:tc>
          <w:tcPr>
            <w:tcW w:w="8100" w:type="dxa"/>
            <w:gridSpan w:val="5"/>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起租时间</w:t>
            </w:r>
          </w:p>
        </w:tc>
        <w:tc>
          <w:tcPr>
            <w:tcW w:w="4320" w:type="dxa"/>
            <w:gridSpan w:val="3"/>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ascii="黑体" w:eastAsia="黑体"/>
              </w:rPr>
              <w:t>租赁面积</w:t>
            </w:r>
            <w:r>
              <w:rPr>
                <w:bCs/>
                <w:szCs w:val="21"/>
              </w:rPr>
              <w:t>( m</w:t>
            </w:r>
            <w:r>
              <w:rPr>
                <w:bCs/>
                <w:szCs w:val="21"/>
                <w:vertAlign w:val="superscript"/>
              </w:rPr>
              <w:t>2</w:t>
            </w:r>
            <w:r>
              <w:rPr>
                <w:bCs/>
                <w:szCs w:val="21"/>
              </w:rPr>
              <w:t>)</w:t>
            </w:r>
          </w:p>
        </w:tc>
        <w:tc>
          <w:tcPr>
            <w:tcW w:w="1800" w:type="dxa"/>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20" w:type="dxa"/>
            <w:gridSpan w:val="3"/>
            <w:vAlign w:val="center"/>
          </w:tcPr>
          <w:p>
            <w:pPr>
              <w:snapToGrid w:val="0"/>
              <w:spacing w:line="240" w:lineRule="atLeast"/>
              <w:rPr>
                <w:rFonts w:ascii="黑体" w:eastAsia="黑体"/>
              </w:rPr>
            </w:pPr>
            <w:r>
              <w:rPr>
                <w:rFonts w:hint="eastAsia"/>
                <w:bCs/>
                <w:szCs w:val="21"/>
              </w:rPr>
              <w:t>申请资助时段</w:t>
            </w:r>
          </w:p>
        </w:tc>
        <w:tc>
          <w:tcPr>
            <w:tcW w:w="3780" w:type="dxa"/>
            <w:gridSpan w:val="2"/>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日至</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bCs/>
                <w:szCs w:val="21"/>
              </w:rPr>
              <w:t>申请资助时段租金合计（元）</w:t>
            </w:r>
          </w:p>
        </w:tc>
        <w:tc>
          <w:tcPr>
            <w:tcW w:w="1800" w:type="dxa"/>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黑体" w:eastAsia="黑体"/>
              </w:rPr>
            </w:pPr>
            <w:r>
              <w:rPr>
                <w:rFonts w:hint="eastAsia" w:ascii="黑体" w:eastAsia="黑体"/>
              </w:rPr>
              <w:t>序号</w:t>
            </w:r>
          </w:p>
        </w:tc>
        <w:tc>
          <w:tcPr>
            <w:tcW w:w="2520" w:type="dxa"/>
            <w:gridSpan w:val="3"/>
            <w:vAlign w:val="center"/>
          </w:tcPr>
          <w:p>
            <w:pPr>
              <w:snapToGrid w:val="0"/>
              <w:spacing w:line="240" w:lineRule="atLeast"/>
              <w:rPr>
                <w:rFonts w:ascii="黑体" w:eastAsia="黑体"/>
              </w:rPr>
            </w:pPr>
            <w:r>
              <w:rPr>
                <w:rFonts w:hint="eastAsia" w:ascii="黑体" w:eastAsia="黑体"/>
              </w:rPr>
              <w:t>支付租金时段</w:t>
            </w:r>
          </w:p>
        </w:tc>
        <w:tc>
          <w:tcPr>
            <w:tcW w:w="2160" w:type="dxa"/>
            <w:vAlign w:val="center"/>
          </w:tcPr>
          <w:p>
            <w:pPr>
              <w:snapToGrid w:val="0"/>
              <w:spacing w:line="240" w:lineRule="atLeast"/>
              <w:rPr>
                <w:rFonts w:ascii="黑体" w:eastAsia="黑体"/>
              </w:rPr>
            </w:pPr>
            <w:r>
              <w:rPr>
                <w:rFonts w:hint="eastAsia" w:ascii="黑体" w:eastAsia="黑体"/>
              </w:rPr>
              <w:t>发票时间</w:t>
            </w:r>
          </w:p>
        </w:tc>
        <w:tc>
          <w:tcPr>
            <w:tcW w:w="1980" w:type="dxa"/>
            <w:vAlign w:val="center"/>
          </w:tcPr>
          <w:p>
            <w:pPr>
              <w:snapToGrid w:val="0"/>
              <w:spacing w:line="240" w:lineRule="atLeast"/>
              <w:rPr>
                <w:rFonts w:ascii="黑体" w:eastAsia="黑体"/>
              </w:rPr>
            </w:pPr>
            <w:r>
              <w:rPr>
                <w:rFonts w:hint="eastAsia" w:ascii="黑体" w:eastAsia="黑体"/>
              </w:rPr>
              <w:t>发票号</w:t>
            </w:r>
          </w:p>
        </w:tc>
        <w:tc>
          <w:tcPr>
            <w:tcW w:w="1800" w:type="dxa"/>
            <w:vAlign w:val="center"/>
          </w:tcPr>
          <w:p>
            <w:pPr>
              <w:snapToGrid w:val="0"/>
              <w:spacing w:line="240" w:lineRule="atLeast"/>
              <w:rPr>
                <w:rFonts w:ascii="黑体" w:eastAsia="黑体"/>
              </w:rPr>
            </w:pPr>
            <w:r>
              <w:rPr>
                <w:rFonts w:hint="eastAsia" w:ascii="黑体" w:eastAsia="黑体"/>
              </w:rPr>
              <w:t>发票金额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2520" w:type="dxa"/>
            <w:gridSpan w:val="3"/>
            <w:vAlign w:val="center"/>
          </w:tcPr>
          <w:p>
            <w:pPr>
              <w:snapToGrid w:val="0"/>
              <w:spacing w:line="240" w:lineRule="atLeast"/>
            </w:pPr>
          </w:p>
        </w:tc>
        <w:tc>
          <w:tcPr>
            <w:tcW w:w="2160"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80" w:type="dxa"/>
            <w:gridSpan w:val="6"/>
          </w:tcPr>
          <w:p>
            <w:pPr>
              <w:snapToGrid w:val="0"/>
              <w:spacing w:line="240" w:lineRule="atLeast"/>
              <w:jc w:val="center"/>
            </w:pPr>
            <w:r>
              <w:rPr>
                <w:rFonts w:hint="eastAsia"/>
              </w:rPr>
              <w:t>金额合计</w:t>
            </w:r>
          </w:p>
        </w:tc>
        <w:tc>
          <w:tcPr>
            <w:tcW w:w="1800" w:type="dxa"/>
          </w:tcPr>
          <w:p>
            <w:pPr>
              <w:snapToGrid w:val="0"/>
              <w:spacing w:line="240" w:lineRule="atLeast"/>
            </w:pPr>
          </w:p>
        </w:tc>
      </w:tr>
    </w:tbl>
    <w:p>
      <w:pPr>
        <w:ind w:left="210" w:hanging="210" w:hangingChars="100"/>
      </w:pPr>
      <w:r>
        <w:rPr>
          <w:rFonts w:hint="eastAsia" w:ascii="宋体" w:hAnsi="宋体"/>
          <w:szCs w:val="21"/>
        </w:rPr>
        <w:t>说明：</w:t>
      </w:r>
      <w:r>
        <w:rPr>
          <w:rFonts w:ascii="宋体" w:hAnsi="宋体"/>
          <w:szCs w:val="21"/>
        </w:rPr>
        <w:t>1</w:t>
      </w:r>
      <w:r>
        <w:rPr>
          <w:rFonts w:hint="eastAsia" w:ascii="宋体" w:hAnsi="宋体"/>
          <w:szCs w:val="21"/>
        </w:rPr>
        <w:t xml:space="preserve">.以上表格请按费用发生的时间先后顺序填写，并将附件证明材料按对应顺序整理编号；    </w:t>
      </w:r>
      <w:r>
        <w:rPr>
          <w:rFonts w:ascii="宋体" w:hAnsi="宋体"/>
          <w:szCs w:val="21"/>
        </w:rPr>
        <w:t>2</w:t>
      </w:r>
      <w:r>
        <w:rPr>
          <w:rFonts w:hint="eastAsia" w:ascii="宋体" w:hAnsi="宋体"/>
          <w:szCs w:val="21"/>
        </w:rPr>
        <w:t>.发票及金额信息请按照发票实际内容填写；</w:t>
      </w:r>
      <w:r>
        <w:rPr>
          <w:rFonts w:ascii="宋体" w:hAnsi="宋体"/>
          <w:szCs w:val="21"/>
        </w:rPr>
        <w:t>3</w:t>
      </w:r>
      <w:r>
        <w:rPr>
          <w:rFonts w:hint="eastAsia" w:ascii="宋体" w:hAnsi="宋体"/>
          <w:szCs w:val="21"/>
        </w:rPr>
        <w:t>.每一张发票填写一行。</w:t>
      </w:r>
    </w:p>
    <w:sectPr>
      <w:pgSz w:w="11906" w:h="16838"/>
      <w:pgMar w:top="1440" w:right="1559" w:bottom="1440" w:left="14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00BAA"/>
    <w:multiLevelType w:val="multilevel"/>
    <w:tmpl w:val="78E00BA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FE"/>
    <w:rsid w:val="000208ED"/>
    <w:rsid w:val="00031D58"/>
    <w:rsid w:val="00033158"/>
    <w:rsid w:val="00056704"/>
    <w:rsid w:val="000A1371"/>
    <w:rsid w:val="000B3975"/>
    <w:rsid w:val="000B7713"/>
    <w:rsid w:val="000D3C3A"/>
    <w:rsid w:val="000F0341"/>
    <w:rsid w:val="00114EBE"/>
    <w:rsid w:val="001255E1"/>
    <w:rsid w:val="0013393B"/>
    <w:rsid w:val="00137400"/>
    <w:rsid w:val="00143743"/>
    <w:rsid w:val="0014617D"/>
    <w:rsid w:val="00184699"/>
    <w:rsid w:val="00186255"/>
    <w:rsid w:val="001A0E1E"/>
    <w:rsid w:val="001B21FB"/>
    <w:rsid w:val="001F2878"/>
    <w:rsid w:val="00230801"/>
    <w:rsid w:val="00230856"/>
    <w:rsid w:val="00233157"/>
    <w:rsid w:val="00233FD7"/>
    <w:rsid w:val="002400C1"/>
    <w:rsid w:val="0024418F"/>
    <w:rsid w:val="00254187"/>
    <w:rsid w:val="002760DF"/>
    <w:rsid w:val="002922C1"/>
    <w:rsid w:val="002B20AD"/>
    <w:rsid w:val="002C7054"/>
    <w:rsid w:val="002E275D"/>
    <w:rsid w:val="00356586"/>
    <w:rsid w:val="00356B80"/>
    <w:rsid w:val="00375A98"/>
    <w:rsid w:val="003856CB"/>
    <w:rsid w:val="003F16C4"/>
    <w:rsid w:val="003F1FBA"/>
    <w:rsid w:val="00482B72"/>
    <w:rsid w:val="00485830"/>
    <w:rsid w:val="00487721"/>
    <w:rsid w:val="00493D13"/>
    <w:rsid w:val="004D1A21"/>
    <w:rsid w:val="004D5F49"/>
    <w:rsid w:val="004E7D47"/>
    <w:rsid w:val="004F58E5"/>
    <w:rsid w:val="00517207"/>
    <w:rsid w:val="005214B5"/>
    <w:rsid w:val="00526730"/>
    <w:rsid w:val="00527482"/>
    <w:rsid w:val="005563DD"/>
    <w:rsid w:val="005719ED"/>
    <w:rsid w:val="00573192"/>
    <w:rsid w:val="005B0FD1"/>
    <w:rsid w:val="0060797E"/>
    <w:rsid w:val="00614EAB"/>
    <w:rsid w:val="00620BD3"/>
    <w:rsid w:val="00642D72"/>
    <w:rsid w:val="00666849"/>
    <w:rsid w:val="00674AC9"/>
    <w:rsid w:val="00682CD8"/>
    <w:rsid w:val="0069674C"/>
    <w:rsid w:val="006A414C"/>
    <w:rsid w:val="006A54AB"/>
    <w:rsid w:val="006D35E2"/>
    <w:rsid w:val="006F0270"/>
    <w:rsid w:val="006F1A2D"/>
    <w:rsid w:val="006F42BB"/>
    <w:rsid w:val="00715B31"/>
    <w:rsid w:val="007969D9"/>
    <w:rsid w:val="007A1229"/>
    <w:rsid w:val="007C16B9"/>
    <w:rsid w:val="007F6F30"/>
    <w:rsid w:val="008079FA"/>
    <w:rsid w:val="00814B05"/>
    <w:rsid w:val="00815455"/>
    <w:rsid w:val="008211F6"/>
    <w:rsid w:val="00834BA9"/>
    <w:rsid w:val="00870847"/>
    <w:rsid w:val="00880342"/>
    <w:rsid w:val="008D6FCB"/>
    <w:rsid w:val="008E61FA"/>
    <w:rsid w:val="009043CB"/>
    <w:rsid w:val="009124BD"/>
    <w:rsid w:val="00916F0E"/>
    <w:rsid w:val="0092418D"/>
    <w:rsid w:val="009411B3"/>
    <w:rsid w:val="00947EC4"/>
    <w:rsid w:val="009574CC"/>
    <w:rsid w:val="00970492"/>
    <w:rsid w:val="00986B66"/>
    <w:rsid w:val="00996CBA"/>
    <w:rsid w:val="009E021D"/>
    <w:rsid w:val="009F0E3A"/>
    <w:rsid w:val="00A345C0"/>
    <w:rsid w:val="00A34E54"/>
    <w:rsid w:val="00A3518D"/>
    <w:rsid w:val="00A50CDF"/>
    <w:rsid w:val="00A529BE"/>
    <w:rsid w:val="00A622D4"/>
    <w:rsid w:val="00A6278C"/>
    <w:rsid w:val="00A75670"/>
    <w:rsid w:val="00A976A1"/>
    <w:rsid w:val="00AA2441"/>
    <w:rsid w:val="00AD363E"/>
    <w:rsid w:val="00B10258"/>
    <w:rsid w:val="00B2715C"/>
    <w:rsid w:val="00B77169"/>
    <w:rsid w:val="00B826CC"/>
    <w:rsid w:val="00B916D5"/>
    <w:rsid w:val="00BB52AD"/>
    <w:rsid w:val="00BE7D28"/>
    <w:rsid w:val="00BF347B"/>
    <w:rsid w:val="00C01469"/>
    <w:rsid w:val="00C07BA5"/>
    <w:rsid w:val="00C22BF8"/>
    <w:rsid w:val="00C30CB6"/>
    <w:rsid w:val="00C316D2"/>
    <w:rsid w:val="00C31CFE"/>
    <w:rsid w:val="00C52C44"/>
    <w:rsid w:val="00C617F1"/>
    <w:rsid w:val="00C85572"/>
    <w:rsid w:val="00C92197"/>
    <w:rsid w:val="00D01033"/>
    <w:rsid w:val="00D05940"/>
    <w:rsid w:val="00D662E2"/>
    <w:rsid w:val="00D727FC"/>
    <w:rsid w:val="00D91F1D"/>
    <w:rsid w:val="00DC5FE8"/>
    <w:rsid w:val="00DD673C"/>
    <w:rsid w:val="00DE1DA8"/>
    <w:rsid w:val="00DE56C0"/>
    <w:rsid w:val="00DF7FBA"/>
    <w:rsid w:val="00E03F19"/>
    <w:rsid w:val="00E13D66"/>
    <w:rsid w:val="00E220D1"/>
    <w:rsid w:val="00E22AB0"/>
    <w:rsid w:val="00E265C5"/>
    <w:rsid w:val="00E36AB4"/>
    <w:rsid w:val="00E44FF2"/>
    <w:rsid w:val="00E80E43"/>
    <w:rsid w:val="00E933F4"/>
    <w:rsid w:val="00EA1003"/>
    <w:rsid w:val="00EA2B61"/>
    <w:rsid w:val="00EC414B"/>
    <w:rsid w:val="00EE0151"/>
    <w:rsid w:val="00EF3AB9"/>
    <w:rsid w:val="00F00F83"/>
    <w:rsid w:val="00F46441"/>
    <w:rsid w:val="00F86C76"/>
    <w:rsid w:val="00FA409C"/>
    <w:rsid w:val="00FB203D"/>
    <w:rsid w:val="00FE728D"/>
    <w:rsid w:val="00FF3343"/>
    <w:rsid w:val="02CC3FC2"/>
    <w:rsid w:val="041D37E5"/>
    <w:rsid w:val="047B7453"/>
    <w:rsid w:val="05541259"/>
    <w:rsid w:val="06014363"/>
    <w:rsid w:val="06151CA8"/>
    <w:rsid w:val="061C34CE"/>
    <w:rsid w:val="06B06B24"/>
    <w:rsid w:val="06D85F62"/>
    <w:rsid w:val="07967375"/>
    <w:rsid w:val="07B35AC8"/>
    <w:rsid w:val="07D5756B"/>
    <w:rsid w:val="08B36BB1"/>
    <w:rsid w:val="09D0681D"/>
    <w:rsid w:val="0A46047D"/>
    <w:rsid w:val="0A536458"/>
    <w:rsid w:val="0A730160"/>
    <w:rsid w:val="0AC90F28"/>
    <w:rsid w:val="0AED4CFF"/>
    <w:rsid w:val="0B7202D6"/>
    <w:rsid w:val="0B855899"/>
    <w:rsid w:val="0C307482"/>
    <w:rsid w:val="0C3F0838"/>
    <w:rsid w:val="0C6D1222"/>
    <w:rsid w:val="0CD24816"/>
    <w:rsid w:val="0E377A0E"/>
    <w:rsid w:val="103B6FBA"/>
    <w:rsid w:val="10677953"/>
    <w:rsid w:val="118D3FA1"/>
    <w:rsid w:val="127A7288"/>
    <w:rsid w:val="12A365A5"/>
    <w:rsid w:val="12FB4D37"/>
    <w:rsid w:val="13323959"/>
    <w:rsid w:val="13B40EAA"/>
    <w:rsid w:val="13D5508E"/>
    <w:rsid w:val="13FE022A"/>
    <w:rsid w:val="157623E7"/>
    <w:rsid w:val="15902A9C"/>
    <w:rsid w:val="159E1C16"/>
    <w:rsid w:val="15CF4EAB"/>
    <w:rsid w:val="16941537"/>
    <w:rsid w:val="17A66413"/>
    <w:rsid w:val="18720C89"/>
    <w:rsid w:val="1A9C337F"/>
    <w:rsid w:val="1AFF1211"/>
    <w:rsid w:val="1B082E26"/>
    <w:rsid w:val="1C940454"/>
    <w:rsid w:val="1DB41D7B"/>
    <w:rsid w:val="1DE274DA"/>
    <w:rsid w:val="1EAD583F"/>
    <w:rsid w:val="1EFE4CD4"/>
    <w:rsid w:val="1F037335"/>
    <w:rsid w:val="1F31195B"/>
    <w:rsid w:val="205231B7"/>
    <w:rsid w:val="20E91F82"/>
    <w:rsid w:val="212270C2"/>
    <w:rsid w:val="21524FAD"/>
    <w:rsid w:val="21D448BA"/>
    <w:rsid w:val="21E361C6"/>
    <w:rsid w:val="226A3074"/>
    <w:rsid w:val="228B30F3"/>
    <w:rsid w:val="22AF78BF"/>
    <w:rsid w:val="22B853A5"/>
    <w:rsid w:val="24ED75E3"/>
    <w:rsid w:val="2600163A"/>
    <w:rsid w:val="262C6BFF"/>
    <w:rsid w:val="271D4EC9"/>
    <w:rsid w:val="2821113F"/>
    <w:rsid w:val="288E2F4A"/>
    <w:rsid w:val="29021489"/>
    <w:rsid w:val="294100C5"/>
    <w:rsid w:val="29455271"/>
    <w:rsid w:val="2A4A26D6"/>
    <w:rsid w:val="2A58211E"/>
    <w:rsid w:val="2DC4379A"/>
    <w:rsid w:val="2E182E27"/>
    <w:rsid w:val="2E95792C"/>
    <w:rsid w:val="2F824D6A"/>
    <w:rsid w:val="308F14BC"/>
    <w:rsid w:val="31834246"/>
    <w:rsid w:val="3246497E"/>
    <w:rsid w:val="33D217BE"/>
    <w:rsid w:val="3464746E"/>
    <w:rsid w:val="349E7335"/>
    <w:rsid w:val="354649F9"/>
    <w:rsid w:val="35C6688D"/>
    <w:rsid w:val="36C66232"/>
    <w:rsid w:val="377F0BCB"/>
    <w:rsid w:val="37870E19"/>
    <w:rsid w:val="37D357D7"/>
    <w:rsid w:val="37F87FF4"/>
    <w:rsid w:val="38020B41"/>
    <w:rsid w:val="382C7AD6"/>
    <w:rsid w:val="38BB2B69"/>
    <w:rsid w:val="38C3698A"/>
    <w:rsid w:val="391607F0"/>
    <w:rsid w:val="3A972C38"/>
    <w:rsid w:val="3B4A32A2"/>
    <w:rsid w:val="3C492F81"/>
    <w:rsid w:val="3C6104AC"/>
    <w:rsid w:val="3C6C646E"/>
    <w:rsid w:val="3D772058"/>
    <w:rsid w:val="3DB96D8D"/>
    <w:rsid w:val="3DE9600A"/>
    <w:rsid w:val="3E484D88"/>
    <w:rsid w:val="3E715899"/>
    <w:rsid w:val="3FB02F31"/>
    <w:rsid w:val="403C4AE8"/>
    <w:rsid w:val="405E53E3"/>
    <w:rsid w:val="419E470A"/>
    <w:rsid w:val="41EE0029"/>
    <w:rsid w:val="41F643F7"/>
    <w:rsid w:val="42125C23"/>
    <w:rsid w:val="422C5862"/>
    <w:rsid w:val="42405093"/>
    <w:rsid w:val="42607585"/>
    <w:rsid w:val="435E145C"/>
    <w:rsid w:val="44623CE9"/>
    <w:rsid w:val="44BD3880"/>
    <w:rsid w:val="44CE37E8"/>
    <w:rsid w:val="45FD27EC"/>
    <w:rsid w:val="46767250"/>
    <w:rsid w:val="47E84CFE"/>
    <w:rsid w:val="483B0591"/>
    <w:rsid w:val="483D4971"/>
    <w:rsid w:val="48A72F3D"/>
    <w:rsid w:val="48D6200F"/>
    <w:rsid w:val="4B31378C"/>
    <w:rsid w:val="4B4B2B0C"/>
    <w:rsid w:val="4BC37C59"/>
    <w:rsid w:val="4C273F3D"/>
    <w:rsid w:val="4C333EC8"/>
    <w:rsid w:val="4C6B296A"/>
    <w:rsid w:val="4C6C7014"/>
    <w:rsid w:val="4C991931"/>
    <w:rsid w:val="4CE60D49"/>
    <w:rsid w:val="4DA7468A"/>
    <w:rsid w:val="4E691F69"/>
    <w:rsid w:val="4E6C49FD"/>
    <w:rsid w:val="4FA162BB"/>
    <w:rsid w:val="50014D3B"/>
    <w:rsid w:val="50496B0A"/>
    <w:rsid w:val="51522D69"/>
    <w:rsid w:val="51B75CE8"/>
    <w:rsid w:val="529134DE"/>
    <w:rsid w:val="52CD6033"/>
    <w:rsid w:val="52F9553B"/>
    <w:rsid w:val="54EB3DA1"/>
    <w:rsid w:val="559613A5"/>
    <w:rsid w:val="55C51E8A"/>
    <w:rsid w:val="56FF168D"/>
    <w:rsid w:val="5705699E"/>
    <w:rsid w:val="572840C2"/>
    <w:rsid w:val="572B1E3E"/>
    <w:rsid w:val="573C1AE3"/>
    <w:rsid w:val="577569A5"/>
    <w:rsid w:val="57EC2ABF"/>
    <w:rsid w:val="57F54071"/>
    <w:rsid w:val="5879444E"/>
    <w:rsid w:val="58AB5045"/>
    <w:rsid w:val="58B71462"/>
    <w:rsid w:val="59730403"/>
    <w:rsid w:val="598546BD"/>
    <w:rsid w:val="5A921FC0"/>
    <w:rsid w:val="5ADC5536"/>
    <w:rsid w:val="5CC26305"/>
    <w:rsid w:val="5D1F5541"/>
    <w:rsid w:val="5E341FFD"/>
    <w:rsid w:val="5F065845"/>
    <w:rsid w:val="5FA11D9E"/>
    <w:rsid w:val="5FD63EC6"/>
    <w:rsid w:val="5FEE6D7E"/>
    <w:rsid w:val="601A4D5A"/>
    <w:rsid w:val="60BC5B9A"/>
    <w:rsid w:val="60C55A17"/>
    <w:rsid w:val="61466767"/>
    <w:rsid w:val="615B784E"/>
    <w:rsid w:val="622B3DA9"/>
    <w:rsid w:val="62AF0A4C"/>
    <w:rsid w:val="63161D11"/>
    <w:rsid w:val="63FD1565"/>
    <w:rsid w:val="64DB4EFC"/>
    <w:rsid w:val="6502530F"/>
    <w:rsid w:val="655D2223"/>
    <w:rsid w:val="65934894"/>
    <w:rsid w:val="662D3FB8"/>
    <w:rsid w:val="66465D47"/>
    <w:rsid w:val="666B1843"/>
    <w:rsid w:val="66986574"/>
    <w:rsid w:val="66C63530"/>
    <w:rsid w:val="674E09C5"/>
    <w:rsid w:val="678912D4"/>
    <w:rsid w:val="67954549"/>
    <w:rsid w:val="679F317F"/>
    <w:rsid w:val="67B05A51"/>
    <w:rsid w:val="67EF3F77"/>
    <w:rsid w:val="69441979"/>
    <w:rsid w:val="6AF055F4"/>
    <w:rsid w:val="6BE05DD2"/>
    <w:rsid w:val="6BEB000F"/>
    <w:rsid w:val="6C2247EE"/>
    <w:rsid w:val="6C5A29C6"/>
    <w:rsid w:val="6C640FA4"/>
    <w:rsid w:val="6C684968"/>
    <w:rsid w:val="6C9F1AC8"/>
    <w:rsid w:val="6F7C0C54"/>
    <w:rsid w:val="6FF150B5"/>
    <w:rsid w:val="70006A9E"/>
    <w:rsid w:val="70044A16"/>
    <w:rsid w:val="70596D50"/>
    <w:rsid w:val="71C73061"/>
    <w:rsid w:val="71E93472"/>
    <w:rsid w:val="73734B01"/>
    <w:rsid w:val="74147DE2"/>
    <w:rsid w:val="748C39FF"/>
    <w:rsid w:val="74C83597"/>
    <w:rsid w:val="74D94B26"/>
    <w:rsid w:val="751373B5"/>
    <w:rsid w:val="75250D3E"/>
    <w:rsid w:val="75606EF0"/>
    <w:rsid w:val="75615DB1"/>
    <w:rsid w:val="7576442A"/>
    <w:rsid w:val="75EF4B75"/>
    <w:rsid w:val="76767499"/>
    <w:rsid w:val="76975010"/>
    <w:rsid w:val="76BC47E3"/>
    <w:rsid w:val="77057328"/>
    <w:rsid w:val="77527958"/>
    <w:rsid w:val="77BE27C3"/>
    <w:rsid w:val="7837016D"/>
    <w:rsid w:val="78DC46AE"/>
    <w:rsid w:val="78DE3A0B"/>
    <w:rsid w:val="792F50EB"/>
    <w:rsid w:val="79B8759B"/>
    <w:rsid w:val="7A73157C"/>
    <w:rsid w:val="7A772A49"/>
    <w:rsid w:val="7B4D47EE"/>
    <w:rsid w:val="7B5A1A11"/>
    <w:rsid w:val="7BA6410F"/>
    <w:rsid w:val="7E145A6A"/>
    <w:rsid w:val="7EED3069"/>
    <w:rsid w:val="7F0459E9"/>
    <w:rsid w:val="7F915811"/>
    <w:rsid w:val="7FAC0CFD"/>
    <w:rsid w:val="7FE141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8"/>
    <w:link w:val="4"/>
    <w:semiHidden/>
    <w:qFormat/>
    <w:uiPriority w:val="99"/>
    <w:rPr>
      <w:rFonts w:ascii="Times New Roman" w:hAnsi="Times New Roman"/>
      <w:sz w:val="18"/>
      <w:szCs w:val="18"/>
    </w:rPr>
  </w:style>
  <w:style w:type="character" w:customStyle="1" w:styleId="11">
    <w:name w:val="页脚 Char"/>
    <w:basedOn w:val="8"/>
    <w:link w:val="3"/>
    <w:semiHidden/>
    <w:qFormat/>
    <w:uiPriority w:val="99"/>
    <w:rPr>
      <w:rFonts w:ascii="Times New Roman" w:hAnsi="Times New Roman"/>
      <w:sz w:val="18"/>
      <w:szCs w:val="18"/>
    </w:rPr>
  </w:style>
  <w:style w:type="paragraph" w:customStyle="1" w:styleId="12">
    <w:name w:val="列出段落1"/>
    <w:basedOn w:val="1"/>
    <w:qFormat/>
    <w:uiPriority w:val="34"/>
    <w:pPr>
      <w:ind w:firstLine="420" w:firstLineChars="200"/>
    </w:pPr>
  </w:style>
  <w:style w:type="character" w:customStyle="1" w:styleId="13">
    <w:name w:val="批注框文本 Char"/>
    <w:basedOn w:val="8"/>
    <w:link w:val="2"/>
    <w:semiHidden/>
    <w:uiPriority w:val="99"/>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431</Words>
  <Characters>2460</Characters>
  <Lines>20</Lines>
  <Paragraphs>5</Paragraphs>
  <TotalTime>34</TotalTime>
  <ScaleCrop>false</ScaleCrop>
  <LinksUpToDate>false</LinksUpToDate>
  <CharactersWithSpaces>2886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2017-06-14T08:06:00Z</dcterms:created>
  <dc:creator>Chinese User</dc:creator>
  <cp:lastModifiedBy>钟映</cp:lastModifiedBy>
  <cp:lastPrinted>2020-03-11T02:20:00Z</cp:lastPrinted>
  <dcterms:modified xsi:type="dcterms:W3CDTF">2021-04-21T06:13:59Z</dcterms:modified>
  <dc:title>南山区自主创新产业发展专项资金—总部经济扶持分项资金</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