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ascii="黑体" w:eastAsia="黑体"/>
          <w:color w:val="auto"/>
          <w:sz w:val="32"/>
          <w:szCs w:val="32"/>
          <w:highlight w:val="none"/>
        </w:rPr>
      </w:pPr>
      <w:bookmarkStart w:id="1" w:name="_GoBack"/>
      <w:bookmarkStart w:id="0" w:name="_Toc493263271"/>
      <w:r>
        <w:rPr>
          <w:rFonts w:hint="eastAsia" w:ascii="黑体" w:eastAsia="黑体"/>
          <w:color w:val="auto"/>
          <w:sz w:val="32"/>
          <w:szCs w:val="32"/>
          <w:highlight w:val="none"/>
        </w:rPr>
        <w:t>“百十五”企业资助类操作规程</w:t>
      </w:r>
      <w:bookmarkEnd w:id="0"/>
    </w:p>
    <w:bookmarkEnd w:id="1"/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一、政策依据及资助标准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政策依据：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《龙华区产业发展专项资金制造业分项实施细则》第五条 实施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“百十五”企业培育计划，支持“百十五”企业稳健成长，成为构建现代产业体系的支撑力量。</w:t>
      </w:r>
    </w:p>
    <w:p>
      <w:pPr>
        <w:spacing w:line="560" w:lineRule="exact"/>
        <w:ind w:firstLine="64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对符合区产业导向，年营业收入或产值首次达到100亿元、50亿元、20亿元、10亿元、5亿元的企业，分别给予1000万元、500万元、200万元、100万元、50万元资助。</w:t>
      </w:r>
    </w:p>
    <w:p>
      <w:pPr>
        <w:spacing w:line="560" w:lineRule="exact"/>
        <w:ind w:firstLine="640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资助标准：</w:t>
      </w:r>
    </w:p>
    <w:p>
      <w:pPr>
        <w:spacing w:line="560" w:lineRule="exact"/>
        <w:ind w:firstLine="64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从2013年1月1日起，依据企业上年度相关数据，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年营业收入（服务业企业）或产值（工业企业）符合相关条件的，可以申请本项目资助。</w:t>
      </w:r>
    </w:p>
    <w:p>
      <w:pPr>
        <w:spacing w:line="560" w:lineRule="exact"/>
        <w:ind w:firstLine="64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（二）按照企业达到最高层级的标准给予资助，不得重复申请。</w:t>
      </w:r>
    </w:p>
    <w:p>
      <w:pPr>
        <w:spacing w:line="560" w:lineRule="exact"/>
        <w:ind w:firstLine="64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（三）企业年营业收入或产值首次达到100亿元的，给予1000万元的资助，分两年拨付，每年500万元，如第二年年营业收入或产值低于上年度则取消剩余500万元资助。</w:t>
      </w:r>
    </w:p>
    <w:p>
      <w:pPr>
        <w:spacing w:line="560" w:lineRule="exact"/>
        <w:ind w:firstLine="64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（四）企业年营业收入或产值首次达到50亿元的，给予500万元的资助，分两年拨付，每年250万元，如第二年年营业收入或产值低于上年度则取消剩余250万元资助。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二、申请条件</w:t>
      </w:r>
    </w:p>
    <w:p>
      <w:pPr>
        <w:spacing w:line="560" w:lineRule="exact"/>
        <w:ind w:firstLine="614" w:firstLineChars="192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（一）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在龙华区依法注册登记并生产经营满1年以上、具有独立法人资格；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商事登记地和税务登记地均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在龙华区。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（二）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年营业收入或产值首次达到100亿元、50亿元、20亿元、10亿元、5亿元的企业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（以区统计局数据为准）。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Style w:val="5"/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</w:rPr>
        <w:t>三、申请材料</w:t>
      </w:r>
    </w:p>
    <w:p>
      <w:pPr>
        <w:spacing w:line="560" w:lineRule="exact"/>
        <w:ind w:firstLine="614" w:firstLineChars="192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（一）《深圳市龙华区“百十五”企业资助类申请书》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（登录龙华区产业发展专项资金申报系统，在线填报并通过预审后打印）；</w:t>
      </w:r>
    </w:p>
    <w:p>
      <w:pPr>
        <w:spacing w:line="560" w:lineRule="exact"/>
        <w:ind w:firstLine="614" w:firstLineChars="192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（二）法人授权委托书（原件），法定代表人、单位经办人身份证复印件。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（三）企业营业执照、组织机构代码证和税务登记证复印件（需年度检验合格，已办理“多证合一”仅需提供复合凭证）。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（四）企业上年度财务审计报告。</w:t>
      </w:r>
    </w:p>
    <w:p>
      <w:pPr>
        <w:spacing w:line="560" w:lineRule="exact"/>
        <w:ind w:firstLine="614" w:firstLineChars="192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（五）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受理部门认为有必要提供的其它证明材料。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以上申报材料扫描上传至龙华区产业发展专项资金申报系统后，通过预审再提交纸质材料。上传材料应准确、齐全、清晰。纸质材料以A4纸型制作，加盖公章及骑缝章，编制目录装订成册(胶装)，申请材料一式两份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四、办理流程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（一）发布公告：区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制订申报受理计划，在龙华政府在线等媒体上发布申报通知。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（二）企业申报：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登录龙华区产业发展专项资金申报系统-制造业分项-“百十五”企业资助类申报，预审通过后打印相关资料。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（三）材料接收：区政务服务大厅综合窗口接收企业申报材料，并对申报主体的资质和材料完整性进行形式审查，形式不合格的，解释后退回。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（四）材料审查：区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申报材料的完整性和合规性进行审查：对经审查符合条件的，进入下一审批环节；对经审查内容不合格的，材料退回申请企业；对经审查需要补充材料的，申报主体应在规定期限内补充申报材料，逾期不报的予以退回并不再受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（五）征求意见：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由区工业和信息化局提出拟资助名单，征求有关部门意见，经有关部门界定属于严重违法违规或者明确建议不予资助的，工业和信息化局将视情况予以采纳；相关部门未明确意见的，工业和信息化局将按正常程序报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（六）对外公示：区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将符合拟资助名单在龙华政府在线等网站上公示5个工作日。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报批：公示期满后，报区业务分管领导审批。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）资金拨付：区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工业和信息化局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向资助对象下达资助通知并按有关规定办理款项拨付手续。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五、时限要求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工业和信息化局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常年受理，集中审核（具体时间以发布的申报通知为准）。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六、附则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本操作规程由龙华区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工业和信息化局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负责解释，自发布之日起施行。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(二）工业和信息化局不接受任何中介机构代理项目申报，一经发现中介代为申报项目，视情况取消申报资格，并按有关规定追究法律责任。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54D5F"/>
    <w:rsid w:val="01B574D7"/>
    <w:rsid w:val="0FD9237A"/>
    <w:rsid w:val="101B40E1"/>
    <w:rsid w:val="111F1D4A"/>
    <w:rsid w:val="19944E0D"/>
    <w:rsid w:val="1ADB2D18"/>
    <w:rsid w:val="1CEC218F"/>
    <w:rsid w:val="1D2E7A38"/>
    <w:rsid w:val="1ECE7BB8"/>
    <w:rsid w:val="1F2A2AB6"/>
    <w:rsid w:val="20F2521E"/>
    <w:rsid w:val="257223DC"/>
    <w:rsid w:val="25735795"/>
    <w:rsid w:val="2AFC215E"/>
    <w:rsid w:val="2ED97D70"/>
    <w:rsid w:val="2FDF11C6"/>
    <w:rsid w:val="3CD20EEC"/>
    <w:rsid w:val="3D6D4595"/>
    <w:rsid w:val="3DC41457"/>
    <w:rsid w:val="3E9D3B3C"/>
    <w:rsid w:val="41DC0A3B"/>
    <w:rsid w:val="4ABA12E5"/>
    <w:rsid w:val="4BE54D5F"/>
    <w:rsid w:val="4E1B3D2D"/>
    <w:rsid w:val="5DF75801"/>
    <w:rsid w:val="61966BF4"/>
    <w:rsid w:val="6CA235FB"/>
    <w:rsid w:val="6D140F81"/>
    <w:rsid w:val="6D2A3752"/>
    <w:rsid w:val="73830391"/>
    <w:rsid w:val="742413FF"/>
    <w:rsid w:val="75023FAE"/>
    <w:rsid w:val="760035F9"/>
    <w:rsid w:val="774902A6"/>
    <w:rsid w:val="77B74E83"/>
    <w:rsid w:val="7B111029"/>
    <w:rsid w:val="7EB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rFonts w:ascii="Tahoma" w:hAnsi="Tahoma" w:eastAsia="宋体" w:cs="Times New Roman"/>
      <w:b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2021-04-12T03:02:00Z</dcterms:created>
  <dc:creator>古人</dc:creator>
  <cp:lastModifiedBy>古人</cp:lastModifiedBy>
  <dcterms:modified xsi:type="dcterms:W3CDTF">2021-04-12T03:03:02Z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