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left"/>
        <w:rPr>
          <w:rFonts w:ascii="黑体" w:hAnsi="黑体" w:eastAsia="黑体" w:cs="仿宋"/>
          <w:sz w:val="32"/>
          <w:szCs w:val="32"/>
        </w:rPr>
      </w:pPr>
      <w:r>
        <w:rPr>
          <w:rFonts w:hint="eastAsia" w:ascii="黑体" w:hAnsi="黑体" w:eastAsia="黑体" w:cs="仿宋"/>
          <w:sz w:val="32"/>
          <w:szCs w:val="32"/>
        </w:rPr>
        <w:t>附件</w:t>
      </w:r>
    </w:p>
    <w:p>
      <w:pPr>
        <w:widowControl/>
        <w:spacing w:before="156" w:beforeLines="50" w:after="156" w:afterLines="50" w:line="500" w:lineRule="exact"/>
        <w:jc w:val="center"/>
        <w:rPr>
          <w:rFonts w:ascii="宋体" w:hAnsi="宋体" w:eastAsia="宋体"/>
          <w:sz w:val="44"/>
          <w:szCs w:val="44"/>
        </w:rPr>
      </w:pPr>
      <w:bookmarkStart w:id="0" w:name="_GoBack"/>
      <w:r>
        <w:rPr>
          <w:rFonts w:ascii="宋体" w:hAnsi="宋体" w:eastAsia="宋体"/>
          <w:sz w:val="44"/>
          <w:szCs w:val="44"/>
        </w:rPr>
        <w:t>2021年宝安区第一批科普（学术交流）经费资助项目</w:t>
      </w:r>
      <w:bookmarkEnd w:id="0"/>
    </w:p>
    <w:tbl>
      <w:tblPr>
        <w:tblStyle w:val="3"/>
        <w:tblW w:w="921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2865"/>
        <w:gridCol w:w="453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538" w:type="dxa"/>
            <w:vAlign w:val="center"/>
          </w:tcPr>
          <w:p>
            <w:pPr>
              <w:spacing w:line="440" w:lineRule="exact"/>
              <w:jc w:val="center"/>
              <w:rPr>
                <w:rFonts w:ascii="仿宋" w:hAnsi="仿宋" w:eastAsia="仿宋"/>
                <w:b/>
                <w:sz w:val="24"/>
                <w:szCs w:val="24"/>
              </w:rPr>
            </w:pPr>
            <w:r>
              <w:rPr>
                <w:rFonts w:hint="eastAsia" w:ascii="仿宋" w:hAnsi="仿宋" w:eastAsia="仿宋"/>
                <w:b/>
                <w:sz w:val="24"/>
                <w:szCs w:val="24"/>
              </w:rPr>
              <w:t>序号</w:t>
            </w:r>
          </w:p>
        </w:tc>
        <w:tc>
          <w:tcPr>
            <w:tcW w:w="2865" w:type="dxa"/>
            <w:vAlign w:val="center"/>
          </w:tcPr>
          <w:p>
            <w:pPr>
              <w:spacing w:line="440" w:lineRule="exact"/>
              <w:jc w:val="center"/>
              <w:rPr>
                <w:rFonts w:ascii="仿宋" w:hAnsi="仿宋" w:eastAsia="仿宋"/>
                <w:b/>
                <w:sz w:val="24"/>
                <w:szCs w:val="24"/>
              </w:rPr>
            </w:pPr>
            <w:r>
              <w:rPr>
                <w:rFonts w:hint="eastAsia" w:ascii="仿宋" w:hAnsi="仿宋" w:eastAsia="仿宋"/>
                <w:b/>
                <w:sz w:val="24"/>
                <w:szCs w:val="24"/>
              </w:rPr>
              <w:t>承办单位</w:t>
            </w:r>
          </w:p>
        </w:tc>
        <w:tc>
          <w:tcPr>
            <w:tcW w:w="4536" w:type="dxa"/>
            <w:vAlign w:val="center"/>
          </w:tcPr>
          <w:p>
            <w:pPr>
              <w:spacing w:line="440" w:lineRule="exact"/>
              <w:jc w:val="center"/>
              <w:rPr>
                <w:rFonts w:ascii="仿宋" w:hAnsi="仿宋" w:eastAsia="仿宋"/>
                <w:b/>
                <w:sz w:val="24"/>
                <w:szCs w:val="24"/>
              </w:rPr>
            </w:pPr>
            <w:r>
              <w:rPr>
                <w:rFonts w:hint="eastAsia" w:ascii="仿宋" w:hAnsi="仿宋" w:eastAsia="仿宋"/>
                <w:b/>
                <w:sz w:val="24"/>
                <w:szCs w:val="24"/>
              </w:rPr>
              <w:t>项目</w:t>
            </w:r>
            <w:r>
              <w:rPr>
                <w:rFonts w:ascii="仿宋" w:hAnsi="仿宋" w:eastAsia="仿宋"/>
                <w:b/>
                <w:sz w:val="24"/>
                <w:szCs w:val="24"/>
              </w:rPr>
              <w:t>内容</w:t>
            </w:r>
          </w:p>
        </w:tc>
        <w:tc>
          <w:tcPr>
            <w:tcW w:w="1276" w:type="dxa"/>
            <w:vAlign w:val="center"/>
          </w:tcPr>
          <w:p>
            <w:pPr>
              <w:spacing w:line="440" w:lineRule="exact"/>
              <w:jc w:val="center"/>
              <w:rPr>
                <w:rFonts w:ascii="仿宋" w:hAnsi="仿宋" w:eastAsia="仿宋"/>
                <w:b/>
                <w:sz w:val="24"/>
                <w:szCs w:val="24"/>
              </w:rPr>
            </w:pPr>
            <w:r>
              <w:rPr>
                <w:rFonts w:hint="eastAsia" w:ascii="仿宋" w:hAnsi="仿宋" w:eastAsia="仿宋"/>
                <w:b/>
                <w:sz w:val="24"/>
                <w:szCs w:val="24"/>
              </w:rPr>
              <w:t>资助</w:t>
            </w:r>
            <w:r>
              <w:rPr>
                <w:rFonts w:ascii="仿宋" w:hAnsi="仿宋" w:eastAsia="仿宋"/>
                <w:b/>
                <w:sz w:val="24"/>
                <w:szCs w:val="24"/>
              </w:rPr>
              <w:t>金额</w:t>
            </w:r>
            <w:r>
              <w:rPr>
                <w:rFonts w:hint="eastAsia" w:ascii="仿宋" w:hAnsi="仿宋" w:eastAsia="仿宋"/>
                <w:b/>
                <w:sz w:val="24"/>
                <w:szCs w:val="24"/>
              </w:rPr>
              <w:t>（</w:t>
            </w:r>
            <w:r>
              <w:rPr>
                <w:rFonts w:ascii="仿宋" w:hAnsi="仿宋" w:eastAsia="仿宋"/>
                <w:b/>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深圳市宝安区科技馆</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垃圾分类科普展览进校园</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深圳市宝安区新桥街道经济服务和统计办公室</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新桥街道2021年“智造之光 闪耀新桥”科普月活动</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深圳市宝安区西乡街道经济服务和统计办公室</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西乡街道航空进社区科普活动</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深圳市宝安区航城街道科学技术协会（经济服务和统计办公室）</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航城街道科普进社区</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深圳市宝安区航城街道科学技术协会（经济服务和统计办公室）</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航城街道</w:t>
            </w:r>
            <w:r>
              <w:rPr>
                <w:rFonts w:hint="eastAsia" w:ascii="仿宋" w:hAnsi="仿宋" w:eastAsia="仿宋" w:cs="微软雅黑"/>
                <w:sz w:val="24"/>
                <w:szCs w:val="24"/>
              </w:rPr>
              <w:t>簕</w:t>
            </w:r>
            <w:r>
              <w:rPr>
                <w:rFonts w:hint="eastAsia" w:ascii="仿宋_GB2312" w:hAnsi="仿宋_GB2312" w:eastAsia="仿宋_GB2312" w:cs="仿宋_GB2312"/>
                <w:sz w:val="24"/>
                <w:szCs w:val="24"/>
              </w:rPr>
              <w:t>杜鹃科普教育基地科普画廊建设及宣传</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深圳市宝安区新安街道龙井社区工作站</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龙井社区“寓教于乐，科普一日行”活动</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4.345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深圳市宝安区新安街道龙井社区工作站</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“畅享蓝天”青少年航空科技科普活动</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4.753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深圳市宝安区新安街道新安湖社区工作站</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新安湖社区科普游学亲子行活动</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深圳市宝安区新安街道洪浪社区工作站</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洪浪社区“我学习我快乐”欢乐科普游学活动</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4.205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深圳市宝安区新安街道上川社区工作站</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2021上川社区阳光少年巧手探科技 （第二期</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3.816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深圳市宝安区西乡街道桃源社区居民委员会</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桃源居社区2021年科技活动</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深圳市宝安区新安街道海富社区工作站</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“科技筑梦，体验成长”科技嘉年华</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深圳市宝安区新安街道安乐社区工作站</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安乐社区科普文化街</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深圳市宝安区新安街道海华社区工作站</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“创新实践，感知奥妙”青少年科技创新教育活动</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2.6723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深圳市宝安区新安街道海华社区工作站</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“与大自然对话”科普进社区</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2.8367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深圳市宝安区新安街道灵芝园社区工作站</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播撒科学的种子——航模科普进社区活动</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4.9398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深圳市宝安区滨海小学</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小实验，大学问——滨海小学科创缤纷节创客体验主题活动</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深圳市宝安区西乡碧海小学</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碧海小学校园科技嘉年华活动</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深圳市宝安区西湾小学</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2021年深圳市宝安区西湾小学校园科技节</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深圳市宝安区西乡小学</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2021年西乡小学校园科技节</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深圳市宝安区宝城小学</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宝城小学第十六届校园科技节</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深圳市宝安区新安街道宝民小学</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宝民小学创客教育及竞赛项目</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深圳市宝安中学（集团）实验学校</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宝安中学（集团）实验学校“十月科创教育学习生长月活动”</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深圳市宝安区松岗实验学校</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松岗实验学校“科技筑梦 智造未来”科技周</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深圳市石岩公学</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深圳市石岩公学第三届科技创新节</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深圳市宝安区黄埔小学</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“科普任我行，畅游印游城”</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深圳市宝安区黄田小学</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深圳市宝安区黄田小学2021年校园科技节</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深圳市宝安中学（集团）实验学校</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宝安中学（集团）实验学校“科技教育展示狂欢节 ”活动</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深圳市宝安区孝德学校</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深圳市宝安区孝德学校第四届科技节</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深圳市宝安区弘雅小学</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弘雅小学校园科技节</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深圳市新安中学（集团）第一实验学校</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承办第三十七届宝安区青少年科技创新大赛及组织宝安区师生参加深圳市选拔赛</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深圳市新安中学（集团）第一实验学校</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承办2021-2022年度周小江机器人教研竞赛工作室教研与竞赛活动</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深圳市宝安区实验学校</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宝安实验学校科创社团</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深圳市宝安区坪洲小学</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科技创新实践活动——超人节</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深圳市宝安区坪洲小学</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青少年科技创新教育活动--坪洲小学特色创客空间</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深圳市宝安区人民医院</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2020年中国工程院严重创伤与紧急医学救援体系建设院士高峰论坛系列活动(宝安区人民医院）</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深圳市宝安中医院（集团）</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“孕产期健康保健 学问大”科普交流活动</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深圳市宝安区妇幼保健院</w:t>
            </w:r>
          </w:p>
        </w:tc>
        <w:tc>
          <w:tcPr>
            <w:tcW w:w="453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2021年宝安区0-6岁儿童身心健康科普交流学习班</w:t>
            </w:r>
          </w:p>
        </w:tc>
        <w:tc>
          <w:tcPr>
            <w:tcW w:w="1276"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8" w:type="dxa"/>
            <w:vAlign w:val="center"/>
          </w:tcPr>
          <w:p>
            <w:pPr>
              <w:pStyle w:val="5"/>
              <w:numPr>
                <w:ilvl w:val="0"/>
                <w:numId w:val="1"/>
              </w:numPr>
              <w:spacing w:line="440" w:lineRule="exact"/>
              <w:ind w:firstLineChars="0"/>
              <w:jc w:val="center"/>
              <w:rPr>
                <w:rFonts w:ascii="仿宋_GB2312" w:hAnsi="仿宋" w:eastAsia="仿宋_GB2312" w:cs="Times New Roman"/>
                <w:sz w:val="24"/>
                <w:szCs w:val="24"/>
              </w:rPr>
            </w:pPr>
          </w:p>
        </w:tc>
        <w:tc>
          <w:tcPr>
            <w:tcW w:w="2865" w:type="dxa"/>
            <w:vAlign w:val="center"/>
          </w:tcPr>
          <w:p>
            <w:pPr>
              <w:spacing w:line="440" w:lineRule="exact"/>
              <w:jc w:val="center"/>
              <w:rPr>
                <w:rFonts w:ascii="仿宋_GB2312" w:hAnsi="仿宋" w:eastAsia="仿宋_GB2312" w:cs="Times New Roman"/>
                <w:sz w:val="24"/>
                <w:szCs w:val="24"/>
              </w:rPr>
            </w:pPr>
            <w:r>
              <w:rPr>
                <w:rFonts w:hint="eastAsia" w:ascii="仿宋_GB2312" w:hAnsi="仿宋" w:eastAsia="仿宋_GB2312" w:cs="Times New Roman"/>
                <w:sz w:val="24"/>
                <w:szCs w:val="24"/>
              </w:rPr>
              <w:t>深圳市宝安区科技馆</w:t>
            </w:r>
          </w:p>
        </w:tc>
        <w:tc>
          <w:tcPr>
            <w:tcW w:w="4536" w:type="dxa"/>
            <w:vAlign w:val="center"/>
          </w:tcPr>
          <w:p>
            <w:pPr>
              <w:spacing w:line="440" w:lineRule="exact"/>
              <w:jc w:val="center"/>
              <w:rPr>
                <w:rFonts w:ascii="仿宋_GB2312" w:hAnsi="仿宋" w:eastAsia="仿宋_GB2312" w:cs="Times New Roman"/>
                <w:sz w:val="24"/>
                <w:szCs w:val="24"/>
              </w:rPr>
            </w:pPr>
            <w:r>
              <w:rPr>
                <w:rFonts w:ascii="仿宋_GB2312" w:hAnsi="仿宋" w:eastAsia="仿宋_GB2312" w:cs="Times New Roman"/>
                <w:sz w:val="24"/>
                <w:szCs w:val="24"/>
              </w:rPr>
              <w:t>2021年科普挂图征订</w:t>
            </w:r>
          </w:p>
        </w:tc>
        <w:tc>
          <w:tcPr>
            <w:tcW w:w="1276" w:type="dxa"/>
            <w:vAlign w:val="center"/>
          </w:tcPr>
          <w:p>
            <w:pPr>
              <w:spacing w:line="440" w:lineRule="exact"/>
              <w:jc w:val="center"/>
              <w:rPr>
                <w:rFonts w:ascii="仿宋_GB2312" w:hAnsi="仿宋" w:eastAsia="仿宋_GB2312" w:cs="Times New Roman"/>
                <w:sz w:val="24"/>
                <w:szCs w:val="24"/>
              </w:rPr>
            </w:pPr>
            <w:r>
              <w:rPr>
                <w:rFonts w:ascii="仿宋_GB2312" w:hAnsi="仿宋" w:eastAsia="仿宋_GB2312" w:cs="Times New Roman"/>
                <w:sz w:val="24"/>
                <w:szCs w:val="24"/>
              </w:rPr>
              <w:t>4.536</w:t>
            </w:r>
          </w:p>
        </w:tc>
      </w:tr>
    </w:tbl>
    <w:p>
      <w:pPr>
        <w:spacing w:line="440" w:lineRule="exact"/>
        <w:jc w:val="center"/>
        <w:rPr>
          <w:rFonts w:ascii="仿宋_GB2312" w:hAnsi="宋体" w:eastAsia="仿宋_GB2312"/>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A0701"/>
    <w:multiLevelType w:val="multilevel"/>
    <w:tmpl w:val="42CA070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2D34D7"/>
    <w:rsid w:val="592D3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2021-01-21T09:05:00Z</dcterms:created>
  <dc:creator>Sempre</dc:creator>
  <cp:lastModifiedBy>Sempre</cp:lastModifiedBy>
  <dcterms:modified xsi:type="dcterms:W3CDTF">2021-01-21T09:05:40Z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