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480" w:lineRule="auto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宝安区2021年重大项目行业分类表</w:t>
      </w:r>
    </w:p>
    <w:p>
      <w:pPr>
        <w:spacing w:line="480" w:lineRule="auto"/>
        <w:jc w:val="center"/>
        <w:rPr>
          <w:rFonts w:hint="eastAsia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30"/>
        <w:gridCol w:w="5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3" w:hRule="atLeast"/>
        </w:trPr>
        <w:tc>
          <w:tcPr>
            <w:tcW w:w="293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default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4"/>
              </w:rPr>
              <w:t>行业分类</w:t>
            </w: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包含领域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4" w:hRule="atLeast"/>
        </w:trPr>
        <w:tc>
          <w:tcPr>
            <w:tcW w:w="293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战略性新兴产业</w:t>
            </w:r>
          </w:p>
        </w:tc>
        <w:tc>
          <w:tcPr>
            <w:tcW w:w="5592" w:type="dxa"/>
            <w:vAlign w:val="center"/>
          </w:tcPr>
          <w:p>
            <w:pPr>
              <w:jc w:val="left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新一代信息技术、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4"/>
              </w:rPr>
              <w:t>高端装备制造、绿色低碳、生物医药、数字经济、新材料、海洋经济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4" w:hRule="atLeast"/>
        </w:trPr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left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重大科技基础设施、基础研究机构、诺贝尔奖科学家实验室、制造业创新中心、生产性服务业公共服务平台、“双创”示范基地等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4" w:hRule="atLeast"/>
        </w:trPr>
        <w:tc>
          <w:tcPr>
            <w:tcW w:w="293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先进制造业和优势传统产业</w:t>
            </w:r>
          </w:p>
        </w:tc>
        <w:tc>
          <w:tcPr>
            <w:tcW w:w="5592" w:type="dxa"/>
            <w:vAlign w:val="center"/>
          </w:tcPr>
          <w:p>
            <w:pPr>
              <w:jc w:val="left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航空航天、海工装备、汽车零部件、汽车电子、精细化工、芯片制造、光电显示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</w:trPr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left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汽车整车、船舶制造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4" w:hRule="atLeast"/>
        </w:trPr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left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黄金珠宝、钟表、服装、眼镜、家具等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2" w:hRule="atLeast"/>
        </w:trPr>
        <w:tc>
          <w:tcPr>
            <w:tcW w:w="293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现代服务业</w:t>
            </w:r>
          </w:p>
        </w:tc>
        <w:tc>
          <w:tcPr>
            <w:tcW w:w="5592" w:type="dxa"/>
            <w:vAlign w:val="center"/>
          </w:tcPr>
          <w:p>
            <w:pPr>
              <w:jc w:val="left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旅游、商贸会展、现代物流业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6" w:hRule="atLeast"/>
        </w:trPr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jc w:val="left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现代金融、软件和信息服务业、科学研究和技术服务业、租赁和商务服务业、专业服务业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9" w:hRule="atLeast"/>
        </w:trPr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总部经济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8" w:hRule="atLeast"/>
        </w:trPr>
        <w:tc>
          <w:tcPr>
            <w:tcW w:w="293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社会民生</w:t>
            </w: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医疗、卫生、教育、民政、气象、文体、公园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2" w:hRule="atLeast"/>
        </w:trPr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人才住房和保障性住房（纯安居工程项目）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0" w:hRule="atLeast"/>
        </w:trPr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电信网、广播电视网、互联网</w:t>
            </w:r>
            <w:r>
              <w:rPr>
                <w:rFonts w:hint="eastAsia"/>
                <w:color w:val="000000"/>
                <w:kern w:val="0"/>
                <w:sz w:val="24"/>
              </w:rPr>
              <w:t>建设及升级改造，三网融合工程，有利于提高</w:t>
            </w:r>
            <w:r>
              <w:rPr>
                <w:color w:val="000000"/>
                <w:kern w:val="0"/>
                <w:sz w:val="24"/>
              </w:rPr>
              <w:t>公共服务</w:t>
            </w:r>
            <w:r>
              <w:rPr>
                <w:rFonts w:hint="eastAsia"/>
                <w:color w:val="000000"/>
                <w:kern w:val="0"/>
                <w:sz w:val="24"/>
              </w:rPr>
              <w:t>水平的智慧应用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47" w:hRule="atLeast"/>
        </w:trPr>
        <w:tc>
          <w:tcPr>
            <w:tcW w:w="2930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城市更新</w:t>
            </w: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符合《深圳市城市更新办法》和《深圳市城市更新办法实施细则》有关规定，且已列入深圳市城市更新单元计划并完成实施主体确认、拟拆除重建用地面积3万平方米以上的城市更新建设项目。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2" w:hRule="atLeast"/>
        </w:trPr>
        <w:tc>
          <w:tcPr>
            <w:tcW w:w="293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轨道交通</w:t>
            </w: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国家铁路、城际和城市轨道交通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0" w:hRule="atLeast"/>
        </w:trPr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综合交通枢纽及配套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7" w:hRule="atLeast"/>
        </w:trPr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中小运量轨道交通系统（有轨电车等）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道路机场港口</w:t>
            </w: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新建、改扩建机场，万吨级集装箱专用码头、年吞吐量200万吨的散货码头、年旅客通过能力500万人次以上的客运码头，通行10万吨级以上船只的新建航道及航道整治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城市高快速路网、干线性主干道、国道、省道等道路工程，重要过境口岸、全市性综合交通枢纽场站，跨境、跨区域和城市的重要桥梁及隧道工程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城市安全环境资源</w:t>
            </w: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公共安全工程项目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石油和天然气的接收、储存、输送工程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电厂、输变电建设工程和电网改造工程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废物再利用和资源化项目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河流整治、污水处理厂及其配套管网、截污和排水管网、水库、水厂、引水工程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可再生能源利用和开发（风能、太阳能、水能、生物质能、海洋能等非化石能源）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30" w:type="dxa"/>
            <w:vMerge w:val="continue"/>
            <w:tcBorders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592" w:type="dxa"/>
            <w:vAlign w:val="center"/>
          </w:tcPr>
          <w:p>
            <w:pPr>
              <w:spacing w:before="100" w:beforeAutospacing="1" w:after="100" w:afterAutospacing="1" w:line="380" w:lineRule="exact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生活垃圾处理项目、余泥渣土受纳场项目、海绵城市项目、综合管廊项目</w:t>
            </w:r>
          </w:p>
        </w:tc>
      </w:tr>
    </w:tbl>
    <w:p>
      <w:pPr>
        <w:jc w:val="center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86B11"/>
    <w:rsid w:val="00865F1D"/>
    <w:rsid w:val="021F4368"/>
    <w:rsid w:val="036D1E52"/>
    <w:rsid w:val="24220429"/>
    <w:rsid w:val="2A277359"/>
    <w:rsid w:val="2A5363A9"/>
    <w:rsid w:val="2B831528"/>
    <w:rsid w:val="36C97F70"/>
    <w:rsid w:val="3BC72E43"/>
    <w:rsid w:val="42B503EC"/>
    <w:rsid w:val="4CB17253"/>
    <w:rsid w:val="500561D8"/>
    <w:rsid w:val="56686B11"/>
    <w:rsid w:val="6F6045A4"/>
    <w:rsid w:val="7D02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2020-10-29T03:24:00Z</dcterms:created>
  <dc:creator>admin</dc:creator>
  <cp:lastModifiedBy>admin</cp:lastModifiedBy>
  <dcterms:modified xsi:type="dcterms:W3CDTF">2020-10-29T03:40:56Z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